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0" w:line="180" w:lineRule="auto"/>
        <w:ind w:firstLine="471"/>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pacing w:val="-1"/>
          <w:sz w:val="44"/>
          <w:szCs w:val="44"/>
          <w:lang w:eastAsia="zh-CN"/>
        </w:rPr>
        <w:t>十一师</w:t>
      </w:r>
      <w:r>
        <w:rPr>
          <w:rFonts w:hint="eastAsia" w:ascii="方正小标宋_GBK" w:hAnsi="方正小标宋_GBK" w:eastAsia="方正小标宋_GBK" w:cs="方正小标宋_GBK"/>
          <w:spacing w:val="-1"/>
          <w:sz w:val="44"/>
          <w:szCs w:val="44"/>
        </w:rPr>
        <w:t>教育局政府信息公开工作年度报告</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仿宋_GB2312" w:hAnsi="仿宋_GB2312"/>
          <w:sz w:val="32"/>
        </w:rPr>
      </w:pPr>
    </w:p>
    <w:p>
      <w:pPr>
        <w:keepNext w:val="0"/>
        <w:keepLines w:val="0"/>
        <w:pageBreakBefore w:val="0"/>
        <w:widowControl/>
        <w:kinsoku w:val="0"/>
        <w:wordWrap/>
        <w:overflowPunct/>
        <w:topLinePunct w:val="0"/>
        <w:autoSpaceDE w:val="0"/>
        <w:autoSpaceDN w:val="0"/>
        <w:bidi w:val="0"/>
        <w:adjustRightInd w:val="0"/>
        <w:snapToGrid w:val="0"/>
        <w:spacing w:before="105"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lang w:eastAsia="zh-CN"/>
        </w:rPr>
        <w:t>十一师</w:t>
      </w:r>
      <w:r>
        <w:rPr>
          <w:rFonts w:hint="eastAsia" w:ascii="仿宋_GB2312" w:hAnsi="仿宋_GB2312" w:eastAsia="仿宋_GB2312" w:cs="仿宋_GB2312"/>
          <w:sz w:val="32"/>
        </w:rPr>
        <w:t>教育局深入贯彻落实《中华人民共和国政府信息公开条例》、《</w:t>
      </w:r>
      <w:r>
        <w:rPr>
          <w:rFonts w:hint="eastAsia" w:ascii="仿宋_GB2312" w:hAnsi="仿宋_GB2312" w:eastAsia="仿宋_GB2312" w:cs="仿宋_GB2312"/>
          <w:sz w:val="32"/>
          <w:lang w:eastAsia="zh-CN"/>
        </w:rPr>
        <w:t>关于编制报送发布</w:t>
      </w:r>
      <w:r>
        <w:rPr>
          <w:rFonts w:hint="eastAsia" w:ascii="仿宋_GB2312" w:hAnsi="仿宋_GB2312" w:eastAsia="仿宋_GB2312" w:cs="仿宋_GB2312"/>
          <w:sz w:val="32"/>
          <w:lang w:val="en-US" w:eastAsia="zh-CN"/>
        </w:rPr>
        <w:t>2021年政府信息公开工作年度报告的通知</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（兵政务公开办函</w:t>
      </w:r>
      <w:r>
        <w:rPr>
          <w:rFonts w:hint="eastAsia" w:ascii="Times New Roman" w:hAnsi="Times New Roman" w:eastAsia="仿宋_GB2312" w:cs="Times New Roman"/>
          <w:sz w:val="32"/>
          <w:szCs w:val="32"/>
          <w:lang w:val="en-US" w:eastAsia="zh-CN"/>
        </w:rPr>
        <w:t>〔2022〕2号）</w:t>
      </w:r>
      <w:r>
        <w:rPr>
          <w:rFonts w:hint="eastAsia" w:ascii="仿宋_GB2312" w:hAnsi="仿宋_GB2312" w:eastAsia="仿宋_GB2312" w:cs="仿宋_GB2312"/>
          <w:sz w:val="32"/>
        </w:rPr>
        <w:t>等要求</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积极推进政府信息公开工作，切实增强信息公开工作的主动性、有效性，政府信息公开各项工作取得较好成效。</w:t>
      </w:r>
      <w:r>
        <w:rPr>
          <w:rFonts w:hint="eastAsia" w:ascii="仿宋_GB2312" w:hAnsi="仿宋_GB2312" w:eastAsia="仿宋_GB2312" w:cs="仿宋_GB2312"/>
          <w:spacing w:val="4"/>
          <w:w w:val="101"/>
          <w:sz w:val="32"/>
          <w:szCs w:val="32"/>
          <w:shd w:val="clear" w:fill="FFFFF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5" w:line="560" w:lineRule="exact"/>
        <w:ind w:left="0" w:leftChars="0" w:firstLine="640" w:firstLineChars="200"/>
        <w:textAlignment w:val="baseline"/>
        <w:rPr>
          <w:rFonts w:hint="eastAsia" w:ascii="黑体" w:hAnsi="黑体" w:eastAsia="黑体" w:cs="黑体"/>
          <w:sz w:val="32"/>
          <w:lang w:val="en-US" w:eastAsia="zh-CN"/>
        </w:rPr>
      </w:pPr>
      <w:r>
        <w:rPr>
          <w:rFonts w:hint="eastAsia" w:ascii="黑体" w:hAnsi="黑体" w:eastAsia="黑体" w:cs="黑体"/>
          <w:sz w:val="32"/>
          <w:lang w:val="en-US" w:eastAsia="zh-CN"/>
        </w:rPr>
        <w:t>一、总体情况</w:t>
      </w:r>
    </w:p>
    <w:p>
      <w:pPr>
        <w:keepNext w:val="0"/>
        <w:keepLines w:val="0"/>
        <w:pageBreakBefore w:val="0"/>
        <w:widowControl/>
        <w:kinsoku w:val="0"/>
        <w:wordWrap/>
        <w:overflowPunct/>
        <w:topLinePunct w:val="0"/>
        <w:autoSpaceDE w:val="0"/>
        <w:autoSpaceDN w:val="0"/>
        <w:bidi w:val="0"/>
        <w:adjustRightInd w:val="0"/>
        <w:snapToGrid w:val="0"/>
        <w:spacing w:before="105" w:line="560" w:lineRule="exact"/>
        <w:ind w:left="0" w:leftChars="0" w:right="273" w:rightChars="130" w:firstLine="640" w:firstLineChars="200"/>
        <w:textAlignment w:val="baseline"/>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2021年，我局在兵团教育信息网门户网站（网 址：</w:t>
      </w:r>
      <w:r>
        <w:rPr>
          <w:rFonts w:hint="eastAsia" w:ascii="仿宋_GB2312" w:hAnsi="仿宋_GB2312" w:eastAsia="仿宋_GB2312" w:cs="仿宋_GB2312"/>
          <w:sz w:val="32"/>
          <w:lang w:val="en-US" w:eastAsia="zh-CN"/>
        </w:rPr>
        <w:fldChar w:fldCharType="begin"/>
      </w:r>
      <w:r>
        <w:rPr>
          <w:rFonts w:hint="eastAsia" w:ascii="仿宋_GB2312" w:hAnsi="仿宋_GB2312" w:eastAsia="仿宋_GB2312" w:cs="仿宋_GB2312"/>
          <w:sz w:val="32"/>
          <w:lang w:val="en-US" w:eastAsia="zh-CN"/>
        </w:rPr>
        <w:instrText xml:space="preserve"> HYPERLINK "http://www.szeb.edu.cn%EF%BC%89%E4%B8%BB%E5%8A%A8%E5%85%AC%E5%BC%80%E5%8F%91%E5%B8%83%E6%96%87%E4%BB%B6%E9%80%9A%E7%9F%A5%E3%80%81%E6%96%B0%E9%97%BB%E5%8A%A8%E6%80%81%E5%92%8C%E4%B8%9A%E5%8A%A1%E4%BF%A1%E6%81%AF%E7%AD%89" </w:instrText>
      </w:r>
      <w:r>
        <w:rPr>
          <w:rFonts w:hint="eastAsia" w:ascii="仿宋_GB2312" w:hAnsi="仿宋_GB2312" w:eastAsia="仿宋_GB2312" w:cs="仿宋_GB2312"/>
          <w:sz w:val="32"/>
          <w:lang w:val="en-US" w:eastAsia="zh-CN"/>
        </w:rPr>
        <w:fldChar w:fldCharType="separate"/>
      </w:r>
      <w:r>
        <w:rPr>
          <w:rFonts w:hint="eastAsia" w:ascii="仿宋_GB2312" w:hAnsi="仿宋_GB2312" w:eastAsia="仿宋_GB2312" w:cs="仿宋_GB2312"/>
          <w:sz w:val="32"/>
          <w:lang w:val="en-US" w:eastAsia="zh-CN"/>
        </w:rPr>
        <w:t>http://www.xjbtedu.cn/）主动公开发布文件、新闻动态和业务</w:t>
      </w:r>
      <w:r>
        <w:rPr>
          <w:rFonts w:hint="eastAsia" w:ascii="仿宋_GB2312" w:hAnsi="仿宋_GB2312" w:eastAsia="仿宋_GB2312" w:cs="仿宋_GB2312"/>
          <w:sz w:val="32"/>
          <w:lang w:val="en-US" w:eastAsia="zh-CN"/>
        </w:rPr>
        <w:fldChar w:fldCharType="end"/>
      </w:r>
      <w:r>
        <w:rPr>
          <w:rFonts w:hint="eastAsia" w:ascii="仿宋_GB2312" w:hAnsi="仿宋_GB2312" w:eastAsia="仿宋_GB2312" w:cs="仿宋_GB2312"/>
          <w:sz w:val="32"/>
          <w:lang w:val="en-US" w:eastAsia="zh-CN"/>
        </w:rPr>
        <w:fldChar w:fldCharType="begin"/>
      </w:r>
      <w:r>
        <w:rPr>
          <w:rFonts w:hint="eastAsia" w:ascii="仿宋_GB2312" w:hAnsi="仿宋_GB2312" w:eastAsia="仿宋_GB2312" w:cs="仿宋_GB2312"/>
          <w:sz w:val="32"/>
          <w:lang w:val="en-US" w:eastAsia="zh-CN"/>
        </w:rPr>
        <w:instrText xml:space="preserve"> HYPERLINK "http://www.szeb.edu.cn%EF%BC%89%E4%B8%BB%E5%8A%A8%E5%85%AC%E5%BC%80%E5%8F%91%E5%B8%83%E6%96%87%E4%BB%B6%E9%80%9A%E7%9F%A5%E3%80%81%E6%96%B0%E9%97%BB%E5%8A%A8%E6%80%81%E5%92%8C%E4%B8%9A%E5%8A%A1%E4%BF%A1%E6%81%AF%E7%AD%89" </w:instrText>
      </w:r>
      <w:r>
        <w:rPr>
          <w:rFonts w:hint="eastAsia" w:ascii="仿宋_GB2312" w:hAnsi="仿宋_GB2312" w:eastAsia="仿宋_GB2312" w:cs="仿宋_GB2312"/>
          <w:sz w:val="32"/>
          <w:lang w:val="en-US" w:eastAsia="zh-CN"/>
        </w:rPr>
        <w:fldChar w:fldCharType="separate"/>
      </w:r>
      <w:r>
        <w:rPr>
          <w:rFonts w:hint="eastAsia" w:ascii="仿宋_GB2312" w:hAnsi="仿宋_GB2312" w:eastAsia="仿宋_GB2312" w:cs="仿宋_GB2312"/>
          <w:sz w:val="32"/>
          <w:lang w:val="en-US" w:eastAsia="zh-CN"/>
        </w:rPr>
        <w:t>信息等</w:t>
      </w:r>
      <w:r>
        <w:rPr>
          <w:rFonts w:hint="eastAsia" w:ascii="仿宋_GB2312" w:hAnsi="仿宋_GB2312" w:eastAsia="仿宋_GB2312" w:cs="仿宋_GB2312"/>
          <w:sz w:val="32"/>
          <w:lang w:val="en-US" w:eastAsia="zh-CN"/>
        </w:rPr>
        <w:fldChar w:fldCharType="end"/>
      </w:r>
      <w:r>
        <w:rPr>
          <w:rFonts w:hint="eastAsia" w:ascii="仿宋_GB2312" w:hAnsi="仿宋_GB2312" w:eastAsia="仿宋_GB2312" w:cs="仿宋_GB2312"/>
          <w:sz w:val="32"/>
          <w:lang w:val="en-US" w:eastAsia="zh-CN"/>
        </w:rPr>
        <w:t>33条，报送信息发布信息 75 篇、师党委办公室采用发布信息11篇。</w:t>
      </w:r>
      <w:r>
        <w:rPr>
          <w:rFonts w:hint="eastAsia" w:ascii="仿宋_GB2312" w:hAnsi="仿宋_GB2312" w:eastAsia="仿宋_GB2312" w:cs="仿宋_GB2312"/>
          <w:sz w:val="32"/>
          <w:lang w:val="en-US" w:eastAsia="zh-CN"/>
        </w:rPr>
        <w:fldChar w:fldCharType="begin"/>
      </w:r>
      <w:r>
        <w:rPr>
          <w:rFonts w:hint="eastAsia" w:ascii="仿宋_GB2312" w:hAnsi="仿宋_GB2312" w:eastAsia="仿宋_GB2312" w:cs="仿宋_GB2312"/>
          <w:sz w:val="32"/>
          <w:lang w:val="en-US" w:eastAsia="zh-CN"/>
        </w:rPr>
        <w:instrText xml:space="preserve"> HYPERLINK "http://www.sz.gov.cn/jyj%EF%BC%89%E4%B8%BB%E5%8A%A8%E5%85%AC%E5%BC%80%E5%8F%91%E5%B8%83%E6%96%87%E4%BB%B6%E9%80%9A%E7%9F%A5%E3%80%81%E5%B7%A5%E4%BD%9C%E5%8A%A8%E6%80%81%E7%AD%89%E6%95%99%E8%82%B2%E4%BF%A1%E6%81%AF%E5%85%B1" </w:instrText>
      </w:r>
      <w:r>
        <w:rPr>
          <w:rFonts w:hint="eastAsia" w:ascii="仿宋_GB2312" w:hAnsi="仿宋_GB2312" w:eastAsia="仿宋_GB2312" w:cs="仿宋_GB2312"/>
          <w:sz w:val="32"/>
          <w:lang w:val="en-US" w:eastAsia="zh-CN"/>
        </w:rPr>
        <w:fldChar w:fldCharType="separate"/>
      </w:r>
      <w:r>
        <w:rPr>
          <w:rFonts w:hint="eastAsia" w:ascii="仿宋_GB2312" w:hAnsi="仿宋_GB2312" w:eastAsia="仿宋_GB2312" w:cs="仿宋_GB2312"/>
          <w:sz w:val="32"/>
          <w:lang w:val="en-US" w:eastAsia="zh-CN"/>
        </w:rPr>
        <w:t>主动</w:t>
      </w:r>
      <w:r>
        <w:rPr>
          <w:rFonts w:hint="eastAsia" w:ascii="仿宋_GB2312" w:hAnsi="仿宋_GB2312" w:eastAsia="仿宋_GB2312" w:cs="仿宋_GB2312"/>
          <w:sz w:val="32"/>
          <w:lang w:val="en-US" w:eastAsia="zh-CN"/>
        </w:rPr>
        <w:fldChar w:fldCharType="end"/>
      </w:r>
      <w:r>
        <w:rPr>
          <w:rFonts w:hint="eastAsia" w:ascii="仿宋_GB2312" w:hAnsi="仿宋_GB2312" w:eastAsia="仿宋_GB2312" w:cs="仿宋_GB2312"/>
          <w:sz w:val="32"/>
          <w:lang w:val="en-US" w:eastAsia="zh-CN"/>
        </w:rPr>
        <w:t>报送</w:t>
      </w:r>
      <w:r>
        <w:rPr>
          <w:rFonts w:hint="eastAsia" w:ascii="仿宋_GB2312" w:hAnsi="仿宋_GB2312" w:eastAsia="仿宋_GB2312" w:cs="仿宋_GB2312"/>
          <w:sz w:val="32"/>
          <w:lang w:val="en-US" w:eastAsia="zh-CN"/>
        </w:rPr>
        <w:fldChar w:fldCharType="begin"/>
      </w:r>
      <w:r>
        <w:rPr>
          <w:rFonts w:hint="eastAsia" w:ascii="仿宋_GB2312" w:hAnsi="仿宋_GB2312" w:eastAsia="仿宋_GB2312" w:cs="仿宋_GB2312"/>
          <w:sz w:val="32"/>
          <w:lang w:val="en-US" w:eastAsia="zh-CN"/>
        </w:rPr>
        <w:instrText xml:space="preserve"> HYPERLINK "http://www.sz.gov.cn/jyj%EF%BC%89%E4%B8%BB%E5%8A%A8%E5%85%AC%E5%BC%80%E5%8F%91%E5%B8%83%E6%96%87%E4%BB%B6%E9%80%9A%E7%9F%A5%E3%80%81%E5%B7%A5%E4%BD%9C%E5%8A%A8%E6%80%81%E7%AD%89%E6%95%99%E8%82%B2%E4%BF%A1%E6%81%AF%E5%85%B1" </w:instrText>
      </w:r>
      <w:r>
        <w:rPr>
          <w:rFonts w:hint="eastAsia" w:ascii="仿宋_GB2312" w:hAnsi="仿宋_GB2312" w:eastAsia="仿宋_GB2312" w:cs="仿宋_GB2312"/>
          <w:sz w:val="32"/>
          <w:lang w:val="en-US" w:eastAsia="zh-CN"/>
        </w:rPr>
        <w:fldChar w:fldCharType="separate"/>
      </w:r>
      <w:r>
        <w:rPr>
          <w:rFonts w:hint="eastAsia" w:ascii="仿宋_GB2312" w:hAnsi="仿宋_GB2312" w:eastAsia="仿宋_GB2312" w:cs="仿宋_GB2312"/>
          <w:sz w:val="32"/>
          <w:lang w:val="en-US" w:eastAsia="zh-CN"/>
        </w:rPr>
        <w:t>发布文件通知、工作动态等教育信息共</w:t>
      </w:r>
      <w:r>
        <w:rPr>
          <w:rFonts w:hint="eastAsia" w:ascii="仿宋_GB2312" w:hAnsi="仿宋_GB2312" w:eastAsia="仿宋_GB2312" w:cs="仿宋_GB2312"/>
          <w:sz w:val="32"/>
          <w:lang w:val="en-US" w:eastAsia="zh-CN"/>
        </w:rPr>
        <w:fldChar w:fldCharType="end"/>
      </w:r>
      <w:r>
        <w:rPr>
          <w:rFonts w:hint="eastAsia" w:ascii="仿宋_GB2312" w:hAnsi="仿宋_GB2312" w:eastAsia="仿宋_GB2312" w:cs="仿宋_GB2312"/>
          <w:sz w:val="32"/>
          <w:lang w:val="en-US" w:eastAsia="zh-CN"/>
        </w:rPr>
        <w:t>75 条，在11师门户网站发布证明事项告知承诺制告知清单学生家庭经济状况证明1条。录入完成政务服务事项库，定期对实施清单和业务办理项进行完善更新，积极做好政务服务事项网上大厅的发布、国家和兵团“互联网+监管”系统录入等工作，努力让数据多跑路，让群众少跑腿</w:t>
      </w:r>
      <w:r>
        <w:rPr>
          <w:rFonts w:hint="default" w:ascii="仿宋_GB2312" w:hAnsi="仿宋_GB2312" w:eastAsia="仿宋_GB2312" w:cs="仿宋_GB2312"/>
          <w:sz w:val="32"/>
          <w:lang w:val="en-US" w:eastAsia="zh-CN"/>
        </w:rPr>
        <w:t>。</w:t>
      </w:r>
      <w:r>
        <w:rPr>
          <w:rFonts w:hint="eastAsia" w:ascii="仿宋_GB2312" w:hAnsi="仿宋_GB2312" w:eastAsia="仿宋_GB2312" w:cs="仿宋_GB2312"/>
          <w:sz w:val="32"/>
          <w:lang w:val="en-US" w:eastAsia="zh-CN"/>
        </w:rPr>
        <w:t>按照“应进必进”原则，对进驻政务服务大厅事项再次梳理，</w:t>
      </w:r>
      <w:r>
        <w:rPr>
          <w:rFonts w:hint="eastAsia" w:ascii="仿宋_GB2312" w:eastAsia="仿宋_GB2312"/>
          <w:sz w:val="32"/>
          <w:szCs w:val="32"/>
        </w:rPr>
        <w:t>承接行政职权2</w:t>
      </w:r>
      <w:r>
        <w:rPr>
          <w:rFonts w:hint="eastAsia" w:ascii="仿宋_GB2312" w:eastAsia="仿宋_GB2312"/>
          <w:sz w:val="32"/>
          <w:szCs w:val="32"/>
          <w:lang w:val="en-US" w:eastAsia="zh-CN"/>
        </w:rPr>
        <w:t>6</w:t>
      </w:r>
      <w:r>
        <w:rPr>
          <w:rFonts w:hint="eastAsia" w:ascii="仿宋_GB2312" w:eastAsia="仿宋_GB2312"/>
          <w:sz w:val="32"/>
          <w:szCs w:val="32"/>
        </w:rPr>
        <w:t>项</w:t>
      </w:r>
      <w:r>
        <w:rPr>
          <w:rFonts w:hint="eastAsia" w:ascii="仿宋_GB2312" w:hAnsi="仿宋_GB2312" w:eastAsia="仿宋_GB2312" w:cs="仿宋_GB2312"/>
          <w:sz w:val="32"/>
          <w:lang w:val="en-US" w:eastAsia="zh-CN"/>
        </w:rPr>
        <w:t xml:space="preserve">。今年中小学教师资格认定工作利用政务服务大厅完成50人认定工作。师教育局围绕工作透明、依法行政、保障人民群众合法权益的目标，结合师教育重点工作任务，主动及时地将办事程序、规范性文件、办公电话、地址等向社会公布，方便群众查阅。其它涉及公民、法人或其他组织切身利益的政府信息及反映我局机构设置、职能、办事程序等信息均按政府信息公开目录逐步充实和更新。  </w:t>
      </w:r>
    </w:p>
    <w:p>
      <w:pPr>
        <w:tabs>
          <w:tab w:val="left" w:pos="360"/>
          <w:tab w:val="left" w:pos="540"/>
          <w:tab w:val="left" w:pos="8460"/>
        </w:tabs>
        <w:spacing w:line="600" w:lineRule="exact"/>
        <w:ind w:firstLine="640" w:firstLineChars="200"/>
        <w:jc w:val="left"/>
        <w:rPr>
          <w:rFonts w:ascii="黑体" w:hAnsi="黑体" w:eastAsia="黑体"/>
          <w:sz w:val="32"/>
          <w:szCs w:val="32"/>
        </w:rPr>
      </w:pPr>
      <w:r>
        <w:rPr>
          <w:rFonts w:ascii="黑体" w:hAnsi="黑体" w:eastAsia="黑体"/>
          <w:sz w:val="32"/>
          <w:szCs w:val="32"/>
        </w:rPr>
        <w:t>二、主动公开政府信息情况</w:t>
      </w:r>
    </w:p>
    <w:tbl>
      <w:tblPr>
        <w:tblStyle w:val="6"/>
        <w:tblW w:w="0" w:type="auto"/>
        <w:jc w:val="center"/>
        <w:tblLayout w:type="fixed"/>
        <w:tblCellMar>
          <w:top w:w="0" w:type="dxa"/>
          <w:left w:w="0" w:type="dxa"/>
          <w:bottom w:w="0" w:type="dxa"/>
          <w:right w:w="0" w:type="dxa"/>
        </w:tblCellMar>
      </w:tblPr>
      <w:tblGrid>
        <w:gridCol w:w="3120"/>
        <w:gridCol w:w="1875"/>
        <w:gridCol w:w="1515"/>
        <w:gridCol w:w="1875"/>
      </w:tblGrid>
      <w:tr>
        <w:tblPrEx>
          <w:tblCellMar>
            <w:top w:w="0" w:type="dxa"/>
            <w:left w:w="0" w:type="dxa"/>
            <w:bottom w:w="0" w:type="dxa"/>
            <w:right w:w="0" w:type="dxa"/>
          </w:tblCellMar>
        </w:tblPrEx>
        <w:trPr>
          <w:trHeight w:val="373" w:hRule="atLeast"/>
          <w:jc w:val="center"/>
        </w:trPr>
        <w:tc>
          <w:tcPr>
            <w:tcW w:w="8385"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第二十条第（一）项</w:t>
            </w:r>
          </w:p>
        </w:tc>
      </w:tr>
      <w:tr>
        <w:tblPrEx>
          <w:tblCellMar>
            <w:top w:w="0" w:type="dxa"/>
            <w:left w:w="0" w:type="dxa"/>
            <w:bottom w:w="0" w:type="dxa"/>
            <w:right w:w="0" w:type="dxa"/>
          </w:tblCellMar>
        </w:tblPrEx>
        <w:trPr>
          <w:trHeight w:val="605" w:hRule="atLeast"/>
          <w:jc w:val="center"/>
        </w:trPr>
        <w:tc>
          <w:tcPr>
            <w:tcW w:w="3120" w:type="dxa"/>
            <w:tcBorders>
              <w:top w:val="nil"/>
              <w:left w:val="single" w:color="auto" w:sz="8" w:space="0"/>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信息内容</w:t>
            </w:r>
          </w:p>
        </w:tc>
        <w:tc>
          <w:tcPr>
            <w:tcW w:w="1875" w:type="dxa"/>
            <w:tcBorders>
              <w:top w:val="nil"/>
              <w:left w:val="nil"/>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eastAsia="zh-CN"/>
              </w:rPr>
            </w:pPr>
            <w:r>
              <w:rPr>
                <w:rFonts w:hint="eastAsia" w:ascii="仿宋_GB2312" w:hAnsi="仿宋_GB2312" w:eastAsia="仿宋_GB2312" w:cs="仿宋_GB2312"/>
                <w:color w:val="393939"/>
                <w:sz w:val="18"/>
                <w:szCs w:val="18"/>
              </w:rPr>
              <w:t>本年</w:t>
            </w:r>
            <w:r>
              <w:rPr>
                <w:rFonts w:hint="eastAsia" w:ascii="仿宋_GB2312" w:hAnsi="仿宋_GB2312" w:eastAsia="仿宋_GB2312" w:cs="仿宋_GB2312"/>
                <w:color w:val="393939"/>
                <w:sz w:val="18"/>
                <w:szCs w:val="18"/>
                <w:lang w:eastAsia="zh-CN"/>
              </w:rPr>
              <w:t>制发件数</w:t>
            </w:r>
          </w:p>
        </w:tc>
        <w:tc>
          <w:tcPr>
            <w:tcW w:w="1515"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eastAsia="zh-CN"/>
              </w:rPr>
            </w:pPr>
            <w:r>
              <w:rPr>
                <w:rFonts w:hint="eastAsia" w:ascii="仿宋_GB2312" w:hAnsi="仿宋_GB2312" w:eastAsia="仿宋_GB2312" w:cs="仿宋_GB2312"/>
                <w:color w:val="393939"/>
                <w:sz w:val="18"/>
                <w:szCs w:val="18"/>
                <w:lang w:eastAsia="zh-CN"/>
              </w:rPr>
              <w:t>本年废止件数</w:t>
            </w:r>
          </w:p>
        </w:tc>
        <w:tc>
          <w:tcPr>
            <w:tcW w:w="1875" w:type="dxa"/>
            <w:tcBorders>
              <w:top w:val="nil"/>
              <w:left w:val="nil"/>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eastAsia="zh-CN"/>
              </w:rPr>
            </w:pPr>
            <w:r>
              <w:rPr>
                <w:rFonts w:hint="eastAsia" w:ascii="仿宋_GB2312" w:hAnsi="仿宋_GB2312" w:eastAsia="仿宋_GB2312" w:cs="仿宋_GB2312"/>
                <w:color w:val="393939"/>
                <w:sz w:val="18"/>
                <w:szCs w:val="18"/>
                <w:lang w:eastAsia="zh-CN"/>
              </w:rPr>
              <w:t>现行有效件数</w:t>
            </w:r>
          </w:p>
        </w:tc>
      </w:tr>
      <w:tr>
        <w:tblPrEx>
          <w:tblCellMar>
            <w:top w:w="0" w:type="dxa"/>
            <w:left w:w="0" w:type="dxa"/>
            <w:bottom w:w="0" w:type="dxa"/>
            <w:right w:w="0" w:type="dxa"/>
          </w:tblCellMar>
        </w:tblPrEx>
        <w:trPr>
          <w:trHeight w:val="555" w:hRule="atLeast"/>
          <w:jc w:val="center"/>
        </w:trPr>
        <w:tc>
          <w:tcPr>
            <w:tcW w:w="3120" w:type="dxa"/>
            <w:tcBorders>
              <w:top w:val="nil"/>
              <w:left w:val="single" w:color="auto" w:sz="8" w:space="0"/>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FF0000"/>
                <w:sz w:val="18"/>
                <w:szCs w:val="18"/>
                <w:lang w:val="en-US" w:eastAsia="zh-CN"/>
              </w:rPr>
            </w:pPr>
            <w:r>
              <w:rPr>
                <w:rFonts w:hint="eastAsia" w:ascii="仿宋_GB2312" w:hAnsi="仿宋_GB2312" w:eastAsia="仿宋_GB2312" w:cs="仿宋_GB2312"/>
                <w:color w:val="auto"/>
                <w:sz w:val="18"/>
                <w:szCs w:val="18"/>
                <w:lang w:val="en-US" w:eastAsia="zh-CN"/>
              </w:rPr>
              <w:t>0</w:t>
            </w:r>
          </w:p>
        </w:tc>
        <w:tc>
          <w:tcPr>
            <w:tcW w:w="1515"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FF0000"/>
                <w:sz w:val="18"/>
                <w:szCs w:val="18"/>
                <w:lang w:val="en-US" w:eastAsia="zh-CN"/>
              </w:rPr>
            </w:pPr>
            <w:r>
              <w:rPr>
                <w:rFonts w:hint="eastAsia" w:ascii="仿宋_GB2312" w:hAnsi="仿宋_GB2312" w:eastAsia="仿宋_GB2312" w:cs="仿宋_GB2312"/>
                <w:color w:val="auto"/>
                <w:sz w:val="18"/>
                <w:szCs w:val="18"/>
                <w:lang w:val="en-US" w:eastAsia="zh-CN"/>
              </w:rPr>
              <w:t>0</w:t>
            </w:r>
          </w:p>
        </w:tc>
        <w:tc>
          <w:tcPr>
            <w:tcW w:w="1875" w:type="dxa"/>
            <w:tcBorders>
              <w:top w:val="nil"/>
              <w:left w:val="nil"/>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FF0000"/>
                <w:sz w:val="18"/>
                <w:szCs w:val="18"/>
                <w:lang w:val="en-US" w:eastAsia="zh-CN"/>
              </w:rPr>
            </w:pPr>
            <w:r>
              <w:rPr>
                <w:rFonts w:hint="eastAsia" w:ascii="仿宋_GB2312" w:hAnsi="仿宋_GB2312" w:eastAsia="仿宋_GB2312" w:cs="仿宋_GB2312"/>
                <w:color w:val="auto"/>
                <w:sz w:val="18"/>
                <w:szCs w:val="18"/>
                <w:lang w:val="en-US" w:eastAsia="zh-CN"/>
              </w:rPr>
              <w:t>0</w:t>
            </w:r>
          </w:p>
        </w:tc>
      </w:tr>
      <w:tr>
        <w:tblPrEx>
          <w:tblCellMar>
            <w:top w:w="0" w:type="dxa"/>
            <w:left w:w="0" w:type="dxa"/>
            <w:bottom w:w="0" w:type="dxa"/>
            <w:right w:w="0" w:type="dxa"/>
          </w:tblCellMar>
        </w:tblPrEx>
        <w:trPr>
          <w:trHeight w:val="600" w:hRule="atLeast"/>
          <w:jc w:val="center"/>
        </w:trPr>
        <w:tc>
          <w:tcPr>
            <w:tcW w:w="3120" w:type="dxa"/>
            <w:tcBorders>
              <w:top w:val="nil"/>
              <w:left w:val="single" w:color="auto" w:sz="8" w:space="0"/>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0</w:t>
            </w:r>
          </w:p>
        </w:tc>
        <w:tc>
          <w:tcPr>
            <w:tcW w:w="1515"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FF0000"/>
                <w:sz w:val="18"/>
                <w:szCs w:val="18"/>
                <w:lang w:val="en-US" w:eastAsia="zh-CN"/>
              </w:rPr>
            </w:pPr>
            <w:r>
              <w:rPr>
                <w:rFonts w:hint="eastAsia" w:ascii="仿宋_GB2312" w:hAnsi="仿宋_GB2312" w:eastAsia="仿宋_GB2312" w:cs="仿宋_GB2312"/>
                <w:color w:val="auto"/>
                <w:sz w:val="18"/>
                <w:szCs w:val="18"/>
                <w:lang w:val="en-US" w:eastAsia="zh-CN"/>
              </w:rPr>
              <w:t>0</w:t>
            </w:r>
          </w:p>
        </w:tc>
        <w:tc>
          <w:tcPr>
            <w:tcW w:w="1875" w:type="dxa"/>
            <w:tcBorders>
              <w:top w:val="nil"/>
              <w:left w:val="nil"/>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FF0000"/>
                <w:sz w:val="18"/>
                <w:szCs w:val="18"/>
                <w:lang w:val="en-US" w:eastAsia="zh-CN"/>
              </w:rPr>
            </w:pPr>
            <w:r>
              <w:rPr>
                <w:rFonts w:hint="eastAsia" w:ascii="仿宋_GB2312" w:hAnsi="仿宋_GB2312" w:eastAsia="仿宋_GB2312" w:cs="仿宋_GB2312"/>
                <w:color w:val="auto"/>
                <w:sz w:val="18"/>
                <w:szCs w:val="18"/>
                <w:lang w:val="en-US" w:eastAsia="zh-CN"/>
              </w:rPr>
              <w:t>0</w:t>
            </w:r>
          </w:p>
        </w:tc>
      </w:tr>
      <w:tr>
        <w:tblPrEx>
          <w:tblCellMar>
            <w:top w:w="0" w:type="dxa"/>
            <w:left w:w="0" w:type="dxa"/>
            <w:bottom w:w="0" w:type="dxa"/>
            <w:right w:w="0" w:type="dxa"/>
          </w:tblCellMar>
        </w:tblPrEx>
        <w:trPr>
          <w:trHeight w:val="480" w:hRule="atLeast"/>
          <w:jc w:val="center"/>
        </w:trPr>
        <w:tc>
          <w:tcPr>
            <w:tcW w:w="8385"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第二十条第（五）项</w:t>
            </w:r>
          </w:p>
        </w:tc>
      </w:tr>
      <w:tr>
        <w:tblPrEx>
          <w:tblCellMar>
            <w:top w:w="0" w:type="dxa"/>
            <w:left w:w="0" w:type="dxa"/>
            <w:bottom w:w="0" w:type="dxa"/>
            <w:right w:w="0" w:type="dxa"/>
          </w:tblCellMar>
        </w:tblPrEx>
        <w:trPr>
          <w:trHeight w:val="630" w:hRule="atLeast"/>
          <w:jc w:val="center"/>
        </w:trPr>
        <w:tc>
          <w:tcPr>
            <w:tcW w:w="3120" w:type="dxa"/>
            <w:tcBorders>
              <w:top w:val="nil"/>
              <w:left w:val="single" w:color="auto" w:sz="8" w:space="0"/>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信息内容</w:t>
            </w:r>
          </w:p>
        </w:tc>
        <w:tc>
          <w:tcPr>
            <w:tcW w:w="5265" w:type="dxa"/>
            <w:gridSpan w:val="3"/>
            <w:tcBorders>
              <w:top w:val="nil"/>
              <w:left w:val="nil"/>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lang w:eastAsia="zh-CN"/>
              </w:rPr>
              <w:t>本年</w:t>
            </w:r>
            <w:r>
              <w:rPr>
                <w:rFonts w:hint="eastAsia" w:ascii="仿宋_GB2312" w:hAnsi="仿宋_GB2312" w:eastAsia="仿宋_GB2312" w:cs="仿宋_GB2312"/>
                <w:color w:val="393939"/>
                <w:sz w:val="18"/>
                <w:szCs w:val="18"/>
              </w:rPr>
              <w:t>处理决定数量</w:t>
            </w:r>
          </w:p>
        </w:tc>
      </w:tr>
      <w:tr>
        <w:tblPrEx>
          <w:tblCellMar>
            <w:top w:w="0" w:type="dxa"/>
            <w:left w:w="0" w:type="dxa"/>
            <w:bottom w:w="0" w:type="dxa"/>
            <w:right w:w="0" w:type="dxa"/>
          </w:tblCellMar>
        </w:tblPrEx>
        <w:trPr>
          <w:trHeight w:val="525" w:hRule="atLeast"/>
          <w:jc w:val="center"/>
        </w:trPr>
        <w:tc>
          <w:tcPr>
            <w:tcW w:w="3120" w:type="dxa"/>
            <w:tcBorders>
              <w:top w:val="nil"/>
              <w:left w:val="single" w:color="auto" w:sz="8" w:space="0"/>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行政许可</w:t>
            </w:r>
          </w:p>
        </w:tc>
        <w:tc>
          <w:tcPr>
            <w:tcW w:w="1875" w:type="dxa"/>
            <w:tcBorders>
              <w:top w:val="nil"/>
              <w:left w:val="nil"/>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1515" w:type="dxa"/>
            <w:tcBorders>
              <w:top w:val="nil"/>
              <w:left w:val="nil"/>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1875" w:type="dxa"/>
            <w:tcBorders>
              <w:top w:val="nil"/>
              <w:left w:val="nil"/>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CellMar>
            <w:top w:w="0" w:type="dxa"/>
            <w:left w:w="0" w:type="dxa"/>
            <w:bottom w:w="0" w:type="dxa"/>
            <w:right w:w="0" w:type="dxa"/>
          </w:tblCellMar>
        </w:tblPrEx>
        <w:trPr>
          <w:trHeight w:val="405" w:hRule="atLeast"/>
          <w:jc w:val="center"/>
        </w:trPr>
        <w:tc>
          <w:tcPr>
            <w:tcW w:w="8385"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第二十条第（六）项</w:t>
            </w:r>
          </w:p>
        </w:tc>
      </w:tr>
      <w:tr>
        <w:tblPrEx>
          <w:tblCellMar>
            <w:top w:w="0" w:type="dxa"/>
            <w:left w:w="0" w:type="dxa"/>
            <w:bottom w:w="0" w:type="dxa"/>
            <w:right w:w="0" w:type="dxa"/>
          </w:tblCellMar>
        </w:tblPrEx>
        <w:trPr>
          <w:trHeight w:val="630" w:hRule="atLeast"/>
          <w:jc w:val="center"/>
        </w:trPr>
        <w:tc>
          <w:tcPr>
            <w:tcW w:w="3120" w:type="dxa"/>
            <w:tcBorders>
              <w:top w:val="nil"/>
              <w:left w:val="single" w:color="auto" w:sz="8" w:space="0"/>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信息内容</w:t>
            </w:r>
          </w:p>
        </w:tc>
        <w:tc>
          <w:tcPr>
            <w:tcW w:w="5265" w:type="dxa"/>
            <w:gridSpan w:val="3"/>
            <w:tcBorders>
              <w:top w:val="nil"/>
              <w:left w:val="nil"/>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处理决定数量</w:t>
            </w:r>
          </w:p>
        </w:tc>
      </w:tr>
      <w:tr>
        <w:tblPrEx>
          <w:tblCellMar>
            <w:top w:w="0" w:type="dxa"/>
            <w:left w:w="0" w:type="dxa"/>
            <w:bottom w:w="0" w:type="dxa"/>
            <w:right w:w="0" w:type="dxa"/>
          </w:tblCellMar>
        </w:tblPrEx>
        <w:trPr>
          <w:trHeight w:val="435" w:hRule="atLeast"/>
          <w:jc w:val="center"/>
        </w:trPr>
        <w:tc>
          <w:tcPr>
            <w:tcW w:w="3120" w:type="dxa"/>
            <w:tcBorders>
              <w:top w:val="nil"/>
              <w:left w:val="single" w:color="auto" w:sz="8" w:space="0"/>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行政处罚</w:t>
            </w:r>
          </w:p>
        </w:tc>
        <w:tc>
          <w:tcPr>
            <w:tcW w:w="5265" w:type="dxa"/>
            <w:gridSpan w:val="3"/>
            <w:tcBorders>
              <w:top w:val="nil"/>
              <w:left w:val="nil"/>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jc w:val="center"/>
              <w:rPr>
                <w:rFonts w:hint="default"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CellMar>
            <w:top w:w="0" w:type="dxa"/>
            <w:left w:w="0" w:type="dxa"/>
            <w:bottom w:w="0" w:type="dxa"/>
            <w:right w:w="0" w:type="dxa"/>
          </w:tblCellMar>
        </w:tblPrEx>
        <w:trPr>
          <w:trHeight w:val="405" w:hRule="atLeast"/>
          <w:jc w:val="center"/>
        </w:trPr>
        <w:tc>
          <w:tcPr>
            <w:tcW w:w="3120" w:type="dxa"/>
            <w:tcBorders>
              <w:top w:val="nil"/>
              <w:left w:val="single" w:color="auto" w:sz="8" w:space="0"/>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行政强制</w:t>
            </w:r>
          </w:p>
        </w:tc>
        <w:tc>
          <w:tcPr>
            <w:tcW w:w="5265" w:type="dxa"/>
            <w:gridSpan w:val="3"/>
            <w:tcBorders>
              <w:top w:val="nil"/>
              <w:left w:val="nil"/>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jc w:val="center"/>
              <w:rPr>
                <w:rFonts w:hint="default"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CellMar>
            <w:top w:w="0" w:type="dxa"/>
            <w:left w:w="0" w:type="dxa"/>
            <w:bottom w:w="0" w:type="dxa"/>
            <w:right w:w="0" w:type="dxa"/>
          </w:tblCellMar>
        </w:tblPrEx>
        <w:trPr>
          <w:trHeight w:val="480" w:hRule="atLeast"/>
          <w:jc w:val="center"/>
        </w:trPr>
        <w:tc>
          <w:tcPr>
            <w:tcW w:w="8385"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第二十条第（八）项</w:t>
            </w:r>
          </w:p>
        </w:tc>
      </w:tr>
      <w:tr>
        <w:tblPrEx>
          <w:tblCellMar>
            <w:top w:w="0" w:type="dxa"/>
            <w:left w:w="0" w:type="dxa"/>
            <w:bottom w:w="0" w:type="dxa"/>
            <w:right w:w="0" w:type="dxa"/>
          </w:tblCellMar>
        </w:tblPrEx>
        <w:trPr>
          <w:trHeight w:val="271" w:hRule="atLeast"/>
          <w:jc w:val="center"/>
        </w:trPr>
        <w:tc>
          <w:tcPr>
            <w:tcW w:w="3120" w:type="dxa"/>
            <w:tcBorders>
              <w:top w:val="nil"/>
              <w:left w:val="single" w:color="auto" w:sz="8" w:space="0"/>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信息内容</w:t>
            </w:r>
          </w:p>
        </w:tc>
        <w:tc>
          <w:tcPr>
            <w:tcW w:w="5265" w:type="dxa"/>
            <w:gridSpan w:val="3"/>
            <w:tcBorders>
              <w:top w:val="nil"/>
              <w:left w:val="nil"/>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eastAsia="zh-CN"/>
              </w:rPr>
            </w:pPr>
            <w:r>
              <w:rPr>
                <w:rFonts w:hint="eastAsia" w:ascii="仿宋_GB2312" w:hAnsi="仿宋_GB2312" w:eastAsia="仿宋_GB2312" w:cs="仿宋_GB2312"/>
                <w:color w:val="393939"/>
                <w:sz w:val="18"/>
                <w:szCs w:val="18"/>
                <w:lang w:eastAsia="zh-CN"/>
              </w:rPr>
              <w:t>本年收费金额（单位：万元）</w:t>
            </w:r>
          </w:p>
        </w:tc>
      </w:tr>
      <w:tr>
        <w:tblPrEx>
          <w:tblCellMar>
            <w:top w:w="0" w:type="dxa"/>
            <w:left w:w="0" w:type="dxa"/>
            <w:bottom w:w="0" w:type="dxa"/>
            <w:right w:w="0" w:type="dxa"/>
          </w:tblCellMar>
        </w:tblPrEx>
        <w:trPr>
          <w:trHeight w:val="555" w:hRule="atLeast"/>
          <w:jc w:val="center"/>
        </w:trPr>
        <w:tc>
          <w:tcPr>
            <w:tcW w:w="3120" w:type="dxa"/>
            <w:tcBorders>
              <w:top w:val="nil"/>
              <w:left w:val="single" w:color="auto" w:sz="8" w:space="0"/>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行政事业性收费</w:t>
            </w:r>
          </w:p>
        </w:tc>
        <w:tc>
          <w:tcPr>
            <w:tcW w:w="5265" w:type="dxa"/>
            <w:gridSpan w:val="3"/>
            <w:tcBorders>
              <w:top w:val="nil"/>
              <w:left w:val="nil"/>
              <w:bottom w:val="single" w:color="auto" w:sz="8" w:space="0"/>
              <w:right w:val="single" w:color="auto" w:sz="8" w:space="0"/>
            </w:tcBorders>
            <w:noWrap/>
            <w:tcMar>
              <w:left w:w="108" w:type="dxa"/>
              <w:right w:w="108" w:type="dxa"/>
            </w:tcMar>
            <w:vAlign w:val="center"/>
          </w:tcPr>
          <w:p>
            <w:pPr>
              <w:pStyle w:val="5"/>
              <w:widowControl/>
              <w:spacing w:before="0" w:beforeAutospacing="0" w:after="180" w:afterAutospacing="0" w:line="240" w:lineRule="auto"/>
              <w:jc w:val="center"/>
              <w:rPr>
                <w:rFonts w:hint="default"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bl>
    <w:p>
      <w:pPr>
        <w:tabs>
          <w:tab w:val="left" w:pos="360"/>
          <w:tab w:val="left" w:pos="540"/>
          <w:tab w:val="left" w:pos="8460"/>
        </w:tabs>
        <w:spacing w:line="600" w:lineRule="exact"/>
        <w:ind w:firstLine="360" w:firstLineChars="200"/>
        <w:jc w:val="left"/>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tabs>
          <w:tab w:val="left" w:pos="360"/>
          <w:tab w:val="left" w:pos="540"/>
          <w:tab w:val="left" w:pos="8460"/>
        </w:tabs>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56"/>
        <w:gridCol w:w="693"/>
        <w:gridCol w:w="2387"/>
        <w:gridCol w:w="694"/>
        <w:gridCol w:w="731"/>
        <w:gridCol w:w="731"/>
        <w:gridCol w:w="784"/>
        <w:gridCol w:w="929"/>
        <w:gridCol w:w="692"/>
        <w:gridCol w:w="6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836"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（本列数据的勾稽关系为：第一项加第二项之和，等于第三项加第四项之和）</w:t>
            </w:r>
          </w:p>
        </w:tc>
        <w:tc>
          <w:tcPr>
            <w:tcW w:w="5239"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3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94"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自然人</w:t>
            </w:r>
          </w:p>
        </w:tc>
        <w:tc>
          <w:tcPr>
            <w:tcW w:w="3867" w:type="dxa"/>
            <w:gridSpan w:val="5"/>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法人或其他组织</w:t>
            </w:r>
          </w:p>
        </w:tc>
        <w:tc>
          <w:tcPr>
            <w:tcW w:w="678"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3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94"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商业企业</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科研机构</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社会公益组织</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法律服务机构</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其他</w:t>
            </w:r>
          </w:p>
        </w:tc>
        <w:tc>
          <w:tcPr>
            <w:tcW w:w="67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3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一、本年新收政府信息公开申请数量</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9" w:hRule="atLeast"/>
          <w:jc w:val="center"/>
        </w:trPr>
        <w:tc>
          <w:tcPr>
            <w:tcW w:w="383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二、上年结转政府信息公开申请数量</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tabs>
                <w:tab w:val="left" w:pos="549"/>
              </w:tabs>
              <w:spacing w:before="0" w:beforeAutospacing="0" w:after="180" w:afterAutospacing="0" w:line="240" w:lineRule="auto"/>
              <w:jc w:val="left"/>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三、本年度办理结果</w:t>
            </w:r>
          </w:p>
        </w:tc>
        <w:tc>
          <w:tcPr>
            <w:tcW w:w="3080" w:type="dxa"/>
            <w:gridSpan w:val="2"/>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（一）予以公开</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3080" w:type="dxa"/>
            <w:gridSpan w:val="2"/>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（二）部分公开（区分处理的，只计这一情形，不计其他情形）</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93"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（三）不予公开</w:t>
            </w:r>
          </w:p>
        </w:tc>
        <w:tc>
          <w:tcPr>
            <w:tcW w:w="2387"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1.属于国家秘密</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93"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2387"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2.其他法律行政法规禁止公开</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93"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2387"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3.危及“三安全一稳定”</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93"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2387"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4.保护第三方合法权益</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93"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2387"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5.属于三类内部事务信息</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93"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2387"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6.属于四类过程性信息</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93"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2387"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7.属于行政执法案卷</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93"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2387"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8.属于行政查询事项</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93"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（四）无法提供</w:t>
            </w:r>
          </w:p>
        </w:tc>
        <w:tc>
          <w:tcPr>
            <w:tcW w:w="2387"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1.本机关不掌握相关政府信息</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93"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2387"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2.没有现成信息需要另行制作</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93"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2387"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3.补正后申请内容仍不明确</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93"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（五）不予处理</w:t>
            </w:r>
          </w:p>
        </w:tc>
        <w:tc>
          <w:tcPr>
            <w:tcW w:w="2387"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1.信访举报投诉类申请</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93"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2387"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2.重复申请</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93"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2387"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3.要求提供公开出版物</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93"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2387"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4.无正当理由大量反复申请</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93"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2387"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5.要求行政机关确认或重新出具已获取信息</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3080" w:type="dxa"/>
            <w:gridSpan w:val="2"/>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（六）其他处理</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3080" w:type="dxa"/>
            <w:gridSpan w:val="2"/>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（七）总计</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3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四、结转下年度继续办理</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784"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929"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8"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bl>
    <w:p>
      <w:pPr>
        <w:tabs>
          <w:tab w:val="left" w:pos="360"/>
          <w:tab w:val="left" w:pos="540"/>
          <w:tab w:val="left" w:pos="8460"/>
        </w:tabs>
        <w:spacing w:line="600" w:lineRule="exact"/>
        <w:ind w:firstLine="360" w:firstLineChars="200"/>
        <w:jc w:val="left"/>
        <w:rPr>
          <w:rFonts w:hint="eastAsia" w:ascii="仿宋_GB2312" w:hAnsi="仿宋_GB2312" w:eastAsia="仿宋_GB2312" w:cs="仿宋_GB2312"/>
          <w:sz w:val="18"/>
          <w:szCs w:val="18"/>
        </w:rPr>
      </w:pPr>
    </w:p>
    <w:p>
      <w:pPr>
        <w:tabs>
          <w:tab w:val="left" w:pos="360"/>
          <w:tab w:val="left" w:pos="540"/>
          <w:tab w:val="left" w:pos="8460"/>
        </w:tabs>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540" w:lineRule="atLeast"/>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行政复议</w:t>
            </w:r>
          </w:p>
        </w:tc>
        <w:tc>
          <w:tcPr>
            <w:tcW w:w="6000"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540" w:lineRule="atLeast"/>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结果维持</w:t>
            </w:r>
          </w:p>
        </w:tc>
        <w:tc>
          <w:tcPr>
            <w:tcW w:w="600"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结果纠正</w:t>
            </w:r>
          </w:p>
        </w:tc>
        <w:tc>
          <w:tcPr>
            <w:tcW w:w="600"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其他结果</w:t>
            </w:r>
          </w:p>
        </w:tc>
        <w:tc>
          <w:tcPr>
            <w:tcW w:w="600"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尚未审结</w:t>
            </w:r>
          </w:p>
        </w:tc>
        <w:tc>
          <w:tcPr>
            <w:tcW w:w="675"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总计</w:t>
            </w:r>
          </w:p>
        </w:tc>
        <w:tc>
          <w:tcPr>
            <w:tcW w:w="2970" w:type="dxa"/>
            <w:gridSpan w:val="5"/>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未经复议直接起诉</w:t>
            </w:r>
          </w:p>
        </w:tc>
        <w:tc>
          <w:tcPr>
            <w:tcW w:w="3030" w:type="dxa"/>
            <w:gridSpan w:val="5"/>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00"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00"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00"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675"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_GB2312" w:hAnsi="仿宋_GB2312" w:eastAsia="仿宋_GB2312" w:cs="仿宋_GB2312"/>
                <w:sz w:val="18"/>
                <w:szCs w:val="18"/>
              </w:rPr>
            </w:pPr>
          </w:p>
        </w:tc>
        <w:tc>
          <w:tcPr>
            <w:tcW w:w="555"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结果维持</w:t>
            </w:r>
          </w:p>
        </w:tc>
        <w:tc>
          <w:tcPr>
            <w:tcW w:w="600"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结果纠正</w:t>
            </w:r>
          </w:p>
        </w:tc>
        <w:tc>
          <w:tcPr>
            <w:tcW w:w="600"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其他结果</w:t>
            </w:r>
          </w:p>
        </w:tc>
        <w:tc>
          <w:tcPr>
            <w:tcW w:w="600"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尚未审结</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总计</w:t>
            </w:r>
          </w:p>
        </w:tc>
        <w:tc>
          <w:tcPr>
            <w:tcW w:w="600"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结果维持</w:t>
            </w:r>
          </w:p>
        </w:tc>
        <w:tc>
          <w:tcPr>
            <w:tcW w:w="600"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结果纠正</w:t>
            </w:r>
          </w:p>
        </w:tc>
        <w:tc>
          <w:tcPr>
            <w:tcW w:w="600"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其他结果</w:t>
            </w:r>
          </w:p>
        </w:tc>
        <w:tc>
          <w:tcPr>
            <w:tcW w:w="600"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尚未审结</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240" w:lineRule="auto"/>
              <w:jc w:val="center"/>
              <w:rPr>
                <w:rFonts w:hint="eastAsia" w:ascii="仿宋_GB2312" w:hAnsi="仿宋_GB2312" w:eastAsia="仿宋_GB2312" w:cs="仿宋_GB2312"/>
                <w:color w:val="393939"/>
                <w:sz w:val="18"/>
                <w:szCs w:val="18"/>
              </w:rPr>
            </w:pPr>
            <w:r>
              <w:rPr>
                <w:rFonts w:hint="eastAsia" w:ascii="仿宋_GB2312" w:hAnsi="仿宋_GB2312" w:eastAsia="仿宋_GB2312" w:cs="仿宋_GB2312"/>
                <w:color w:val="393939"/>
                <w:sz w:val="18"/>
                <w:szCs w:val="18"/>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540" w:lineRule="atLeast"/>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00"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540" w:lineRule="atLeast"/>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00"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540" w:lineRule="atLeast"/>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00"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540" w:lineRule="atLeast"/>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75"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540" w:lineRule="atLeast"/>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555"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540" w:lineRule="atLeast"/>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00"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540" w:lineRule="atLeast"/>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00"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540" w:lineRule="atLeast"/>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00"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540" w:lineRule="atLeast"/>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540" w:lineRule="atLeast"/>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00"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540" w:lineRule="atLeast"/>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00"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540" w:lineRule="atLeast"/>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00"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540" w:lineRule="atLeast"/>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00"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540" w:lineRule="atLeast"/>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pStyle w:val="5"/>
              <w:widowControl/>
              <w:spacing w:before="0" w:beforeAutospacing="0" w:after="180" w:afterAutospacing="0" w:line="540" w:lineRule="atLeast"/>
              <w:jc w:val="center"/>
              <w:rPr>
                <w:rFonts w:hint="eastAsia" w:ascii="仿宋_GB2312" w:hAnsi="仿宋_GB2312" w:eastAsia="仿宋_GB2312" w:cs="仿宋_GB2312"/>
                <w:color w:val="393939"/>
                <w:sz w:val="18"/>
                <w:szCs w:val="18"/>
                <w:lang w:val="en-US" w:eastAsia="zh-CN"/>
              </w:rPr>
            </w:pPr>
            <w:r>
              <w:rPr>
                <w:rFonts w:hint="eastAsia" w:ascii="仿宋_GB2312" w:hAnsi="仿宋_GB2312" w:eastAsia="仿宋_GB2312" w:cs="仿宋_GB2312"/>
                <w:color w:val="393939"/>
                <w:sz w:val="18"/>
                <w:szCs w:val="18"/>
                <w:lang w:val="en-US" w:eastAsia="zh-CN"/>
              </w:rPr>
              <w:t>0</w:t>
            </w:r>
          </w:p>
        </w:tc>
      </w:tr>
    </w:tbl>
    <w:p>
      <w:pPr>
        <w:keepNext w:val="0"/>
        <w:keepLines w:val="0"/>
        <w:pageBreakBefore w:val="0"/>
        <w:widowControl/>
        <w:kinsoku w:val="0"/>
        <w:wordWrap/>
        <w:overflowPunct/>
        <w:topLinePunct w:val="0"/>
        <w:autoSpaceDE w:val="0"/>
        <w:autoSpaceDN w:val="0"/>
        <w:bidi w:val="0"/>
        <w:adjustRightInd w:val="0"/>
        <w:snapToGrid w:val="0"/>
        <w:spacing w:before="150" w:line="560" w:lineRule="exact"/>
        <w:ind w:firstLine="669"/>
        <w:textAlignment w:val="baseline"/>
        <w:rPr>
          <w:rFonts w:ascii="黑体" w:hAnsi="黑体" w:eastAsia="黑体" w:cs="黑体"/>
          <w:sz w:val="32"/>
          <w:szCs w:val="32"/>
        </w:rPr>
      </w:pPr>
      <w:r>
        <w:rPr>
          <w:rFonts w:ascii="黑体" w:hAnsi="黑体" w:eastAsia="黑体" w:cs="黑体"/>
          <w:spacing w:val="-2"/>
          <w:sz w:val="32"/>
          <w:szCs w:val="32"/>
          <w:shd w:val="clear" w:fill="FFFFFE"/>
        </w:rPr>
        <w:t>五、存在的主要问题及改进情况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年，我局政府信息公开工作取得了较好成效，但也存在信息更新的时效性有待进一步提高、信息公开范围有待进一步扩大等问题。针对这些问题，202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我们将继续严格落实</w:t>
      </w:r>
      <w:r>
        <w:rPr>
          <w:rFonts w:hint="eastAsia" w:ascii="仿宋_GB2312" w:hAnsi="仿宋_GB2312" w:eastAsia="仿宋_GB2312" w:cs="仿宋_GB2312"/>
          <w:sz w:val="32"/>
          <w:szCs w:val="32"/>
          <w:lang w:eastAsia="zh-CN"/>
        </w:rPr>
        <w:t>自治区、兵团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十一师</w:t>
      </w:r>
      <w:r>
        <w:rPr>
          <w:rFonts w:hint="eastAsia" w:ascii="仿宋_GB2312" w:hAnsi="仿宋_GB2312" w:eastAsia="仿宋_GB2312" w:cs="仿宋_GB2312"/>
          <w:sz w:val="32"/>
          <w:szCs w:val="32"/>
        </w:rPr>
        <w:t>有关政府信息公开工作的要求，在增强工作实效方面下工夫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努力拓展信息公开渠道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积极回应群众关注的热点问题主动、及时、准确做好信息发布。具体改进措施如下：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（一）加强信息公开工作队伍建设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加强教育宣传与舆情培训，提升政务公开的能力和水平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确保权威、及时、准确地发布政府信息；进一步完善信息公开工作制度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切实落实《中华人民共和国政府信息公开条例》要求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增强信息公开工作主动性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保障信息公开的时效性。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（二）优化公开渠道，扩大公开范围。进一步优化政务新媒体、门户网站等平台栏目，切实做好信息公开平台的维护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及时发布和更新政府信息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力争获得更多群众对教育的理解和支持；积极做好重点教育政策、教育重点服务事项和重点教育工作的公开解读，尤其是涉及人民群众切身利益、需要社会广泛知晓的政策文件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围绕教育领域综合改革以及教育先行示范工作进行重点宣传，完善教育舆情分析处置引导和信息公开工作的联动机制。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（三）加强信息公开监督考核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完善信息公开工作与全局及各部门工作同步谋划、同步推进、同步考核的机制。加大过程管理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及时发现和解决政务公开工作中存在的问题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并严格落实责任追究制度。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footerReference r:id="rId5" w:type="default"/>
      <w:pgSz w:w="11907" w:h="16839"/>
      <w:pgMar w:top="1431" w:right="1587" w:bottom="1377" w:left="1588" w:header="0" w:footer="126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384"/>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935705"/>
    <w:rsid w:val="08D35866"/>
    <w:rsid w:val="14182B58"/>
    <w:rsid w:val="14DB7F08"/>
    <w:rsid w:val="15D40473"/>
    <w:rsid w:val="1A764D25"/>
    <w:rsid w:val="36C564FF"/>
    <w:rsid w:val="43154C74"/>
    <w:rsid w:val="4CE644D7"/>
    <w:rsid w:val="5119172D"/>
    <w:rsid w:val="52AD7189"/>
    <w:rsid w:val="5AF73156"/>
    <w:rsid w:val="690A402A"/>
    <w:rsid w:val="69594552"/>
    <w:rsid w:val="784D2E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jc w:val="left"/>
    </w:pPr>
    <w:rPr>
      <w:kern w:val="0"/>
      <w:sz w:val="24"/>
      <w:szCs w:val="24"/>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32</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2021-02-02T17:16:00Z</dcterms:created>
  <dc:creator>龚君君</dc:creator>
  <cp:lastModifiedBy>admin</cp:lastModifiedBy>
  <cp:lastPrinted>2022-01-20T02:12:00Z</cp:lastPrinted>
  <dcterms:modified xsi:type="dcterms:W3CDTF">2022-01-27T02:22:14Z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2022-01-14T16:35:31Z</vt:filetime>
  </property>
  <property fmtid="{D5CDD505-2E9C-101B-9397-08002B2CF9AE}" pid="4" name="KSOProductBuildVer">
    <vt:lpwstr>2052-11.1.0.11294</vt:lpwstr>
  </property>
  <property fmtid="{D5CDD505-2E9C-101B-9397-08002B2CF9AE}" pid="5" name="ICV">
    <vt:lpwstr>7745EACDDD49424AAA391A4DA727DE1E</vt:lpwstr>
  </property>
</Properties>
</file>