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</w:rPr>
        <w:t>十一师食品药品监督管理局政府信息公开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</w:rPr>
        <w:t>工作年度报告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333333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黑体" w:hAnsi="黑体" w:eastAsia="黑体" w:cs="黑体"/>
          <w:snapToGrid/>
          <w:color w:val="333333"/>
          <w:szCs w:val="32"/>
        </w:rPr>
        <w:t>一、总体情况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</w:rPr>
        <w:t>根据《中华人民共和国政府信息公开条例》（以下简称《条例》）的规定，按照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  <w:t>相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关要求，结合我师实际，现将师食品药品监督管理局2022年政府信息公开工作要点总体情况报告如下: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楷体_GB2312" w:hAnsi="楷体_GB2312" w:eastAsia="楷体_GB2312" w:cs="楷体_GB2312"/>
          <w:snapToGrid/>
          <w:color w:val="333333"/>
          <w:szCs w:val="32"/>
        </w:rPr>
        <w:t>（一）主动公开政府信息情况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。我局在政府信息公开工作中，对运用行政权力办理的与人民群众利益相关的各类事项，凡不危害国家利益、公共利益和社会稳定，不涉及国家秘密和依法受到保护的商业秘密、个人隐私，都按照法律法规和有关政策向社会公开，切实保障人民群众的知情权、参与权和监督权等。1.公开的主要内容：工作动态信息、工作文件信息、征求意见信息、行政监管信息、行政审批信息、预警交流信息等方面。2.公开的形式:</w:t>
      </w:r>
      <w:r>
        <w:rPr>
          <w:rFonts w:hint="eastAsia" w:ascii="仿宋_GB2312" w:hAnsi="宋体" w:eastAsia="仿宋_GB2312" w:cs="宋体"/>
          <w:b/>
          <w:bCs/>
          <w:snapToGrid/>
          <w:color w:val="333333"/>
          <w:szCs w:val="32"/>
        </w:rPr>
        <w:t>一是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网上公开。</w:t>
      </w:r>
      <w:r>
        <w:rPr>
          <w:rFonts w:hint="eastAsia" w:ascii="仿宋_GB2312" w:hAnsi="宋体" w:eastAsia="仿宋_GB2312" w:cs="宋体"/>
          <w:b/>
          <w:bCs/>
          <w:snapToGrid/>
          <w:color w:val="333333"/>
          <w:szCs w:val="32"/>
        </w:rPr>
        <w:t>二是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公示栏公开。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楷体_GB2312" w:hAnsi="楷体_GB2312" w:eastAsia="楷体_GB2312" w:cs="楷体_GB2312"/>
          <w:snapToGrid/>
          <w:color w:val="333333"/>
          <w:szCs w:val="32"/>
        </w:rPr>
        <w:t>（二）依申请公开政府信息和不予公开政府信息情况。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2022年度没有收到公众提出的与食品药品相关政府信息公开申请。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napToGrid/>
          <w:color w:val="333333"/>
          <w:szCs w:val="32"/>
        </w:rPr>
        <w:t>（三）因政府信息公开申请行政复议、提起行政诉讼情况。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为充分保障公民、法人和其他组织对政务信息的知情权、获取权和监督权，我局制订了严格的监督措施。明确规定，公民、法人和其他组织认为我局没有依法履行政府信息公开义务，或者认为我局有违反相关规章制度的具体行政行为，侵犯其合法权益，可以向有关部门提出复议、诉讼和申诉。截至2022年底，我局未收到任何针对我局政府信息公开工作的复议、诉讼和申诉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黑体" w:hAnsi="黑体" w:eastAsia="黑体" w:cs="黑体"/>
          <w:snapToGrid/>
          <w:color w:val="333333"/>
          <w:szCs w:val="32"/>
        </w:rPr>
      </w:pPr>
      <w:r>
        <w:rPr>
          <w:rFonts w:hint="eastAsia" w:ascii="黑体" w:hAnsi="黑体" w:eastAsia="黑体" w:cs="黑体"/>
          <w:snapToGrid/>
          <w:color w:val="333333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1217"/>
        <w:gridCol w:w="1218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hint="eastAsia" w:ascii="宋体" w:hAnsi="宋体" w:eastAsia="宋体" w:cs="Calibri"/>
                <w:snapToGrid/>
                <w:sz w:val="20"/>
              </w:rPr>
              <w:t>新制作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  <w:r>
              <w:rPr>
                <w:rFonts w:hint="eastAsia" w:ascii="宋体" w:hAnsi="宋体" w:eastAsia="宋体" w:cs="Calibri"/>
                <w:snapToGrid/>
                <w:sz w:val="20"/>
              </w:rPr>
              <w:t>量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本年新公开数量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上一年项目数量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本年增/减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60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减少24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其他对外管理服务事项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上一年项目数量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本年增/减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上一年项目数量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5B9BD5" w:themeColor="accent1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采购项目数量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政府集中采购</w:t>
            </w:r>
          </w:p>
        </w:tc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2"/>
              </w:rPr>
              <w:t>0</w:t>
            </w:r>
          </w:p>
        </w:tc>
      </w:tr>
    </w:tbl>
    <w:p>
      <w:pPr>
        <w:autoSpaceDE/>
        <w:autoSpaceDN/>
        <w:snapToGrid/>
        <w:spacing w:line="560" w:lineRule="exact"/>
        <w:ind w:firstLine="640" w:firstLineChars="200"/>
        <w:rPr>
          <w:rFonts w:ascii="黑体" w:hAnsi="黑体" w:eastAsia="黑体" w:cs="黑体"/>
          <w:snapToGrid/>
          <w:color w:val="000000" w:themeColor="text1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inset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2"/>
              </w:rPr>
              <w:t>0</w:t>
            </w:r>
          </w:p>
        </w:tc>
      </w:tr>
    </w:tbl>
    <w:p>
      <w:pPr>
        <w:autoSpaceDE/>
        <w:autoSpaceDN/>
        <w:snapToGrid/>
        <w:spacing w:line="560" w:lineRule="exact"/>
        <w:ind w:firstLine="640" w:firstLineChars="200"/>
        <w:rPr>
          <w:rFonts w:ascii="黑体" w:hAnsi="黑体" w:eastAsia="黑体" w:cs="黑体"/>
          <w:snapToGrid/>
          <w:color w:val="000000" w:themeColor="text1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bookmarkStart w:id="0" w:name="_GoBack" w:colFirst="0" w:colLast="14"/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</w:tr>
      <w:bookmarkEnd w:id="0"/>
    </w:tbl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zCs w:val="32"/>
        </w:rPr>
        <w:t>五、存在的主要问题及改进情况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2022年我局政府信息公开工作取得了一定的进展，但与社会需求还有一定差距，主要表现在公开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  <w:lang w:val="en-US" w:eastAsia="zh-CN"/>
        </w:rPr>
        <w:t>形式、内容单一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，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  <w:lang w:val="en-US" w:eastAsia="zh-CN"/>
        </w:rPr>
        <w:t>工作进展不平衡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。需要从以下几个方面着手改进:</w:t>
      </w:r>
    </w:p>
    <w:p>
      <w:pPr>
        <w:autoSpaceDE/>
        <w:autoSpaceDN/>
        <w:snapToGrid/>
        <w:spacing w:line="560" w:lineRule="exact"/>
        <w:ind w:firstLine="643" w:firstLineChars="2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b/>
          <w:bCs/>
          <w:snapToGrid/>
          <w:color w:val="000000" w:themeColor="text1"/>
          <w:szCs w:val="32"/>
        </w:rPr>
        <w:t>一是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加强宣传、提高认识。要进一步加强政府信息公开工作的宣传和引导，提高监管人员对政府信息公开的认识。</w:t>
      </w:r>
    </w:p>
    <w:p>
      <w:pPr>
        <w:autoSpaceDE/>
        <w:autoSpaceDN/>
        <w:snapToGrid/>
        <w:spacing w:line="560" w:lineRule="exact"/>
        <w:ind w:firstLine="643" w:firstLineChars="2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b/>
          <w:bCs/>
          <w:snapToGrid/>
          <w:color w:val="000000" w:themeColor="text1"/>
          <w:szCs w:val="32"/>
        </w:rPr>
        <w:t>二是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落实目标责任制，建立健全各项规章制度。全面规范政府信息公开目录，规范信息公开流程，不断提高政府信息公开的规范性和质量。</w:t>
      </w:r>
    </w:p>
    <w:p>
      <w:pPr>
        <w:autoSpaceDE/>
        <w:autoSpaceDN/>
        <w:snapToGrid/>
        <w:spacing w:line="560" w:lineRule="exact"/>
        <w:ind w:firstLine="643" w:firstLineChars="2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b/>
          <w:bCs/>
          <w:snapToGrid/>
          <w:color w:val="000000" w:themeColor="text1"/>
          <w:szCs w:val="32"/>
        </w:rPr>
        <w:t>三是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建立长效机制。把政府信息公开工作纳入绩效考评的内容，建立和完善政府信息公开内容审查和更新维护、考核评估、监督检查评议、培训宣传和工作年报等工作制度，促进信息公开工作制度化、规范化发展，深入、持续、高效地开展政府信息公开工作。</w:t>
      </w:r>
    </w:p>
    <w:p>
      <w:pPr>
        <w:autoSpaceDE/>
        <w:autoSpaceDN/>
        <w:snapToGrid/>
        <w:spacing w:line="560" w:lineRule="exact"/>
        <w:ind w:firstLine="643" w:firstLineChars="200"/>
        <w:rPr>
          <w:rFonts w:ascii="Arial" w:hAnsi="Arial" w:eastAsia="宋体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snapToGrid/>
          <w:color w:val="000000" w:themeColor="text1"/>
          <w:szCs w:val="32"/>
        </w:rPr>
        <w:t>四是</w:t>
      </w: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严格信息公开纪律，规范信息公开行为。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黑体" w:hAnsi="黑体" w:eastAsia="黑体" w:cs="黑体"/>
          <w:snapToGrid/>
          <w:color w:val="000000" w:themeColor="text1"/>
          <w:szCs w:val="32"/>
        </w:rPr>
      </w:pPr>
      <w:r>
        <w:rPr>
          <w:rFonts w:hint="eastAsia" w:ascii="黑体" w:hAnsi="黑体" w:eastAsia="黑体" w:cs="黑体"/>
          <w:snapToGrid/>
          <w:color w:val="000000" w:themeColor="text1"/>
          <w:szCs w:val="32"/>
        </w:rPr>
        <w:t>六、其他需要报告的事项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本单位公开的所有信息均属免费，无收取信息处理费情况。</w:t>
      </w:r>
    </w:p>
    <w:p>
      <w:pPr>
        <w:autoSpaceDE/>
        <w:autoSpaceDN/>
        <w:snapToGrid/>
        <w:spacing w:line="560" w:lineRule="exact"/>
        <w:ind w:firstLine="0"/>
        <w:rPr>
          <w:rFonts w:ascii="仿宋_GB2312" w:hAnsi="宋体" w:eastAsia="仿宋_GB2312" w:cs="宋体"/>
          <w:snapToGrid/>
          <w:color w:val="000000" w:themeColor="text1"/>
          <w:szCs w:val="32"/>
        </w:rPr>
      </w:pPr>
    </w:p>
    <w:p>
      <w:pPr>
        <w:autoSpaceDE/>
        <w:autoSpaceDN/>
        <w:snapToGrid/>
        <w:spacing w:line="560" w:lineRule="exact"/>
        <w:ind w:firstLine="0"/>
        <w:rPr>
          <w:rFonts w:ascii="仿宋_GB2312" w:hAnsi="宋体" w:eastAsia="仿宋_GB2312" w:cs="宋体"/>
          <w:snapToGrid/>
          <w:color w:val="000000" w:themeColor="text1"/>
          <w:szCs w:val="32"/>
        </w:rPr>
      </w:pPr>
    </w:p>
    <w:p>
      <w:pPr>
        <w:autoSpaceDE/>
        <w:autoSpaceDN/>
        <w:snapToGrid/>
        <w:spacing w:line="560" w:lineRule="exact"/>
        <w:ind w:firstLine="4160" w:firstLineChars="13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十一师食品药品监督管理局</w:t>
      </w:r>
    </w:p>
    <w:p>
      <w:pPr>
        <w:autoSpaceDE/>
        <w:autoSpaceDN/>
        <w:snapToGrid/>
        <w:spacing w:line="560" w:lineRule="exact"/>
        <w:ind w:firstLine="4800" w:firstLineChars="1500"/>
        <w:rPr>
          <w:rFonts w:ascii="仿宋_GB2312" w:hAnsi="宋体" w:eastAsia="仿宋_GB2312" w:cs="宋体"/>
          <w:snapToGrid/>
          <w:color w:val="000000" w:themeColor="text1"/>
          <w:szCs w:val="32"/>
        </w:rPr>
      </w:pPr>
      <w:r>
        <w:rPr>
          <w:rFonts w:hint="eastAsia" w:ascii="仿宋_GB2312" w:hAnsi="宋体" w:eastAsia="仿宋_GB2312" w:cs="宋体"/>
          <w:snapToGrid/>
          <w:color w:val="000000" w:themeColor="text1"/>
          <w:szCs w:val="32"/>
        </w:rPr>
        <w:t>2023年3月14日</w:t>
      </w: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4YWY4NzM1ZGU2ZmU4NjUxMWI3Njg2NDc1NTVjODQifQ=="/>
  </w:docVars>
  <w:rsids>
    <w:rsidRoot w:val="6FF12955"/>
    <w:rsid w:val="00062E80"/>
    <w:rsid w:val="00130006"/>
    <w:rsid w:val="00CE1BEC"/>
    <w:rsid w:val="00D7633C"/>
    <w:rsid w:val="00D97AC8"/>
    <w:rsid w:val="01402D0A"/>
    <w:rsid w:val="01B9373D"/>
    <w:rsid w:val="02754C3F"/>
    <w:rsid w:val="04F419D9"/>
    <w:rsid w:val="05186A70"/>
    <w:rsid w:val="06392605"/>
    <w:rsid w:val="070457D8"/>
    <w:rsid w:val="07275C67"/>
    <w:rsid w:val="07405ED6"/>
    <w:rsid w:val="075C73C2"/>
    <w:rsid w:val="076B77E2"/>
    <w:rsid w:val="08E43024"/>
    <w:rsid w:val="0B7A01E0"/>
    <w:rsid w:val="0C441E02"/>
    <w:rsid w:val="0C9230B1"/>
    <w:rsid w:val="0CC03C7D"/>
    <w:rsid w:val="0CCD3BD8"/>
    <w:rsid w:val="0CD80600"/>
    <w:rsid w:val="0D4E1EA3"/>
    <w:rsid w:val="0E1235A8"/>
    <w:rsid w:val="0FB07977"/>
    <w:rsid w:val="100E1FCF"/>
    <w:rsid w:val="10B56919"/>
    <w:rsid w:val="10B905C9"/>
    <w:rsid w:val="125B19CC"/>
    <w:rsid w:val="162D3FFB"/>
    <w:rsid w:val="166D01A4"/>
    <w:rsid w:val="16CC0C7A"/>
    <w:rsid w:val="185226C0"/>
    <w:rsid w:val="19043F33"/>
    <w:rsid w:val="1A5905CD"/>
    <w:rsid w:val="1B0B1A4D"/>
    <w:rsid w:val="1C1A129E"/>
    <w:rsid w:val="1D14362E"/>
    <w:rsid w:val="1DCE50A8"/>
    <w:rsid w:val="1EFA6AB9"/>
    <w:rsid w:val="203767C6"/>
    <w:rsid w:val="232D19EC"/>
    <w:rsid w:val="23441A3F"/>
    <w:rsid w:val="23FF5FCD"/>
    <w:rsid w:val="242210F7"/>
    <w:rsid w:val="244F2331"/>
    <w:rsid w:val="26792A4F"/>
    <w:rsid w:val="27315D1D"/>
    <w:rsid w:val="280C01C4"/>
    <w:rsid w:val="28126DFF"/>
    <w:rsid w:val="284B1A54"/>
    <w:rsid w:val="294F6F41"/>
    <w:rsid w:val="2A9D6918"/>
    <w:rsid w:val="2BCD6EA4"/>
    <w:rsid w:val="2BD922AF"/>
    <w:rsid w:val="2D777185"/>
    <w:rsid w:val="2E1220AC"/>
    <w:rsid w:val="2E437A29"/>
    <w:rsid w:val="2F8761C8"/>
    <w:rsid w:val="2FDE4283"/>
    <w:rsid w:val="323E09ED"/>
    <w:rsid w:val="32CD0B04"/>
    <w:rsid w:val="33491A70"/>
    <w:rsid w:val="34D55048"/>
    <w:rsid w:val="360D0EF5"/>
    <w:rsid w:val="36C5144E"/>
    <w:rsid w:val="36C676EA"/>
    <w:rsid w:val="36E72C79"/>
    <w:rsid w:val="3703103B"/>
    <w:rsid w:val="39E92D87"/>
    <w:rsid w:val="3A042D42"/>
    <w:rsid w:val="3AAE2D07"/>
    <w:rsid w:val="3D200FE6"/>
    <w:rsid w:val="3D257AA1"/>
    <w:rsid w:val="3D3E41B8"/>
    <w:rsid w:val="4218787A"/>
    <w:rsid w:val="43E65C9B"/>
    <w:rsid w:val="46597952"/>
    <w:rsid w:val="47D6111F"/>
    <w:rsid w:val="49605F3B"/>
    <w:rsid w:val="49675177"/>
    <w:rsid w:val="4BAA3671"/>
    <w:rsid w:val="4C5B2C52"/>
    <w:rsid w:val="4D56360B"/>
    <w:rsid w:val="4D8E33C4"/>
    <w:rsid w:val="4FED1285"/>
    <w:rsid w:val="50541DEC"/>
    <w:rsid w:val="50C86414"/>
    <w:rsid w:val="524F6102"/>
    <w:rsid w:val="533563D4"/>
    <w:rsid w:val="534E79F4"/>
    <w:rsid w:val="53BD07B5"/>
    <w:rsid w:val="53E3444D"/>
    <w:rsid w:val="54C93254"/>
    <w:rsid w:val="55124D02"/>
    <w:rsid w:val="59A63268"/>
    <w:rsid w:val="5A072011"/>
    <w:rsid w:val="5AF9449E"/>
    <w:rsid w:val="5B8A43D5"/>
    <w:rsid w:val="5F5C203C"/>
    <w:rsid w:val="6097436F"/>
    <w:rsid w:val="61372ED6"/>
    <w:rsid w:val="62BF6355"/>
    <w:rsid w:val="62F43210"/>
    <w:rsid w:val="65133FE3"/>
    <w:rsid w:val="65C43C25"/>
    <w:rsid w:val="67436627"/>
    <w:rsid w:val="68616751"/>
    <w:rsid w:val="687551BC"/>
    <w:rsid w:val="68C3618B"/>
    <w:rsid w:val="69C75F9A"/>
    <w:rsid w:val="6AB77DBD"/>
    <w:rsid w:val="6B5A0308"/>
    <w:rsid w:val="6B5B0AAF"/>
    <w:rsid w:val="6C0B61D2"/>
    <w:rsid w:val="6EE71ECC"/>
    <w:rsid w:val="6F2C706A"/>
    <w:rsid w:val="6F426089"/>
    <w:rsid w:val="6FF12955"/>
    <w:rsid w:val="702A12E4"/>
    <w:rsid w:val="711315BD"/>
    <w:rsid w:val="721B4FFF"/>
    <w:rsid w:val="75195FD9"/>
    <w:rsid w:val="78012F2C"/>
    <w:rsid w:val="78262B9E"/>
    <w:rsid w:val="7839051F"/>
    <w:rsid w:val="78445C46"/>
    <w:rsid w:val="786477DC"/>
    <w:rsid w:val="7868151F"/>
    <w:rsid w:val="79C02F7D"/>
    <w:rsid w:val="7A2333AC"/>
    <w:rsid w:val="7A405B1B"/>
    <w:rsid w:val="7A6A3831"/>
    <w:rsid w:val="7AA41ADE"/>
    <w:rsid w:val="7B684630"/>
    <w:rsid w:val="7BD00EC7"/>
    <w:rsid w:val="7DBA2E11"/>
    <w:rsid w:val="7F0E3669"/>
    <w:rsid w:val="7F655FF0"/>
    <w:rsid w:val="7F941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方正仿宋_GBK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1826</Words>
  <Characters>1863</Characters>
  <Lines>16</Lines>
  <Paragraphs>4</Paragraphs>
  <TotalTime>30</TotalTime>
  <ScaleCrop>false</ScaleCrop>
  <LinksUpToDate>false</LinksUpToDate>
  <CharactersWithSpaces>1877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2022-01-25T03:31:00Z</dcterms:created>
  <dc:creator>小、小白</dc:creator>
  <cp:lastModifiedBy>小、小白</cp:lastModifiedBy>
  <dcterms:modified xsi:type="dcterms:W3CDTF">2023-03-16T07:48:41Z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DCA160DB2B81467F8DED67C2B33771AC</vt:lpwstr>
  </property>
</Properties>
</file>