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Style w:val="9"/>
          <w:rFonts w:hint="eastAsia" w:ascii="方正小标宋简体"/>
          <w:sz w:val="44"/>
          <w:szCs w:val="44"/>
        </w:rPr>
      </w:pPr>
      <w:bookmarkStart w:id="0" w:name="_Toc1160"/>
      <w:r>
        <w:rPr>
          <w:rStyle w:val="9"/>
          <w:rFonts w:hint="eastAsia" w:ascii="方正小标宋简体"/>
          <w:sz w:val="44"/>
          <w:szCs w:val="44"/>
        </w:rPr>
        <w:t>养老机构管理办法</w:t>
      </w:r>
    </w:p>
    <w:bookmarkEnd w:id="0"/>
    <w:p>
      <w:pPr>
        <w:spacing w:line="560" w:lineRule="exact"/>
        <w:ind w:firstLine="640"/>
        <w:jc w:val="center"/>
        <w:rPr>
          <w:rStyle w:val="10"/>
          <w:rFonts w:hint="eastAsia" w:ascii="仿宋_GB2312" w:eastAsia="仿宋_GB2312"/>
          <w:color w:val="000000"/>
          <w:sz w:val="32"/>
          <w:szCs w:val="32"/>
        </w:rPr>
      </w:pPr>
      <w:bookmarkStart w:id="1" w:name="_Toc14377"/>
      <w:r>
        <w:rPr>
          <w:rStyle w:val="10"/>
          <w:rFonts w:hint="eastAsia" w:ascii="仿宋_GB2312" w:eastAsia="仿宋_GB2312"/>
          <w:color w:val="000000"/>
          <w:sz w:val="32"/>
          <w:szCs w:val="32"/>
        </w:rPr>
        <w:t>（中华人民共和国民政部令第66号）</w:t>
      </w:r>
    </w:p>
    <w:bookmarkEnd w:id="1"/>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《养老机构管理办法》已经2020年8月21日民政部部务会议通过，现予公布，自2020年11月1日起施行。</w:t>
      </w:r>
    </w:p>
    <w:p>
      <w:pPr>
        <w:spacing w:line="560" w:lineRule="exact"/>
        <w:ind w:firstLine="640"/>
        <w:jc w:val="right"/>
        <w:rPr>
          <w:rFonts w:hint="eastAsia" w:ascii="仿宋_GB2312" w:hAnsi="Times New Roman" w:eastAsia="仿宋_GB2312" w:cs="Times New Roman"/>
          <w:szCs w:val="32"/>
        </w:rPr>
      </w:pPr>
      <w:r>
        <w:rPr>
          <w:rFonts w:hint="eastAsia" w:ascii="仿宋_GB2312" w:hAnsi="Times New Roman" w:eastAsia="仿宋_GB2312" w:cs="Times New Roman"/>
          <w:szCs w:val="32"/>
        </w:rPr>
        <w:t>2020年9月1日</w:t>
      </w:r>
    </w:p>
    <w:p>
      <w:pPr>
        <w:spacing w:line="560" w:lineRule="exact"/>
        <w:ind w:firstLine="0" w:firstLineChars="0"/>
        <w:jc w:val="center"/>
        <w:rPr>
          <w:rFonts w:hint="eastAsia" w:ascii="仿宋_GB2312" w:hAnsi="Times New Roman" w:eastAsia="仿宋_GB2312" w:cs="Times New Roman"/>
          <w:szCs w:val="32"/>
        </w:rPr>
      </w:pPr>
    </w:p>
    <w:p>
      <w:pPr>
        <w:spacing w:line="560" w:lineRule="exact"/>
        <w:ind w:firstLine="0" w:firstLineChars="0"/>
        <w:jc w:val="center"/>
        <w:rPr>
          <w:rFonts w:hint="eastAsia" w:ascii="仿宋_GB2312" w:hAnsi="Times New Roman" w:eastAsia="仿宋_GB2312" w:cs="Times New Roman"/>
          <w:b/>
          <w:bCs/>
          <w:szCs w:val="32"/>
        </w:rPr>
      </w:pPr>
      <w:r>
        <w:rPr>
          <w:rFonts w:hint="eastAsia" w:ascii="仿宋_GB2312" w:hAnsi="Times New Roman" w:eastAsia="仿宋_GB2312" w:cs="Times New Roman"/>
          <w:b/>
          <w:bCs/>
          <w:szCs w:val="32"/>
        </w:rPr>
        <w:t>第一章 总 则</w:t>
      </w:r>
      <w:r>
        <w:rPr>
          <w:rFonts w:hint="eastAsia" w:ascii="仿宋_GB2312" w:hAnsi="Times New Roman" w:eastAsia="仿宋_GB2312" w:cs="Times New Roman"/>
          <w:b/>
          <w:bCs/>
          <w:szCs w:val="32"/>
        </w:rPr>
        <w:br w:type="textWrapping"/>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第一条 为了规范对养老机构的管理，促进养老服务健康发展，根据《中华人民共和国老年人权益保障法》和有关法律、行政法规，制定本办法。</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第二条 本办法所称养老机构是指依法办理登记，为老年人提供全日集中住宿和照料护理服务，床位数在10张以上的机构。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养老机构包括营利性养老机构和非营利性养老机构。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第三条 县级以上人民政府民政部门负责养老机构的指导、监督和管理。其他有关部门依照职责分工对养老机构实施监督。</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第四条 养老机构应当按照建筑、消防、食品安全、医疗卫生、特种设备等法律、法规和强制性标准开展服务活动。</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养老机构及其工作人员应当依法保障收住老年人的人身权、财产权等合法权益。</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第五条 入住养老机构的老年人及其代理人应当遵守养老机构的规章制度，维护养老机构正常服务秩序。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第六条 政府投资兴办的养老机构在满足特困人员集中供养需求的前提下，优先保障经济困难的孤寡、失能、高龄、计划生育特殊家庭等老年人的服务需求。</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政府投资兴办的养老机构，可以采取委托管理、租赁经营等方式，交由社会力量运营管理。</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第七条 民政部门应当会同有关部门采取措施，鼓励、支持企业事业单位、社会组织或者个人兴办、运营养老机构。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鼓励自然人、法人或者其他组织依法为养老机构提供捐赠和志愿服务。</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第八条 鼓励养老机构加入养老服务行业组织，加强行业自律和诚信建设，促进行业规范有序发展。</w:t>
      </w:r>
    </w:p>
    <w:p>
      <w:pPr>
        <w:spacing w:line="560" w:lineRule="exact"/>
        <w:ind w:firstLine="0" w:firstLineChars="0"/>
        <w:jc w:val="center"/>
        <w:rPr>
          <w:rFonts w:hint="eastAsia" w:ascii="仿宋_GB2312" w:hAnsi="Times New Roman" w:eastAsia="仿宋_GB2312" w:cs="Times New Roman"/>
          <w:b/>
          <w:bCs/>
          <w:szCs w:val="32"/>
        </w:rPr>
      </w:pPr>
      <w:r>
        <w:rPr>
          <w:rFonts w:hint="eastAsia" w:ascii="仿宋_GB2312" w:hAnsi="Times New Roman" w:eastAsia="仿宋_GB2312" w:cs="Times New Roman"/>
          <w:b/>
          <w:bCs/>
          <w:szCs w:val="32"/>
        </w:rPr>
        <w:t>第二章 备案办理</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第九条 设立营利性养老机构，应当在市场监督管理部门办理登记。设立非营利性养老机构，应当依法办理相应的登记。</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养老机构登记后即可开展服务活动。</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第十条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第十一条 养老机构办理备案，应当向民政部门提交备案申请书、养老机构登记证书、符合本办法第四条要求的承诺书等材料，并对真实性负责。</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备案申请书应当包括下列内容:</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(一)养老机构基本情况，包括名称、住所、法定代表人或者主要负责人信息等;</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(二)服务场所权属;</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(三)养老床位数量;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(四)服务设施面积;</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(五)联系人和联系方式。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民政部门应当加强信息化建设，逐步实现网上备案。</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第十二条 民政部门收到养老机构备案材料后，对材料齐全的，应当出具备案回执;材料不齐全的，应当指导养老机构补正。</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第十三条 已经备案的养老机构变更名称、法定代表人或者主要负责人等登记事项，或者变更服务场所权属、养老床位数量、服务设施面积等事项的，应当及时向原备案民政部门办理变更备案。</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第十四条 民政部门应当通过政府网站、政务新媒体、办事大厅公示栏、服务窗口等途径向社会公开备案事项及流程、材料清单等信息。</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民政部门应当依托全国一体化在线政务服务平台，推进登记管理机关、备案机关信息系统互联互通、数据共享。</w:t>
      </w:r>
    </w:p>
    <w:p>
      <w:pPr>
        <w:spacing w:line="560" w:lineRule="exact"/>
        <w:ind w:firstLine="0" w:firstLineChars="0"/>
        <w:jc w:val="center"/>
        <w:rPr>
          <w:rFonts w:hint="eastAsia" w:ascii="仿宋_GB2312" w:hAnsi="Times New Roman" w:eastAsia="仿宋_GB2312" w:cs="Times New Roman"/>
          <w:b/>
          <w:bCs/>
          <w:szCs w:val="32"/>
        </w:rPr>
      </w:pPr>
      <w:r>
        <w:rPr>
          <w:rFonts w:hint="eastAsia" w:ascii="仿宋_GB2312" w:hAnsi="Times New Roman" w:eastAsia="仿宋_GB2312" w:cs="Times New Roman"/>
          <w:b/>
          <w:bCs/>
          <w:szCs w:val="32"/>
        </w:rPr>
        <w:t>第三章 服务规范</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第十五条 养老机构应当建立入院评估制度，对老年人的身心状况进行评估，并根据评估结果确定照料护理等级。</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老年人身心状况发生变化，需要变更照料护理等级的，养老机构应当重新进行评估。</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养老机构确定或者变更老年人照料护理等级，应当经老年人或者其代理人同意。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第十六条 养老机构应当与老年人或者其代理人签订服务协议，明确当事人的权利和义务。</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服务协议一般包括下列条款:</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(一)养老机构的名称、住所、法定代表人或者主要负责人、联系方式;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(二)老年人或者其代理人和紧急联系人的姓名、住址、身份证明、联系方式;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(三)照料护理等级和服务内容、服务方式;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(四)收费标准和费用支付方式;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(五)服务期限和场所;</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(六)协议变更、解除与终止的条件;</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(七)暂停或者终止服务时老年人安置方式;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(八)违约责任和争议解决方式;</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(九)当事人协商一致的其他内容。</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第十七条 养老机构按照服务协议为老年人提供生活照料、康复护理、精神慰藉、文化娱乐等服务。</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第十八条 养老机构应当为老年人提供饮食、起居、清洁、卫生等生活照料服务。</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养老机构应当提供符合老年人住宿条件的居住用房，并配备适合老年人安全保护要求的设施、设备及用具，定期对老年人的活动场所和物品进行消毒和清洗。</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养老机构提供的饮食应当符合食品安全要求、适宜老年人食用、有利于老年人营养平衡、符合民族风俗习惯。</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第十九条 养老机构应当为老年人建立健康档案，开展日常保健知识宣传，做好疾病预防工作。养老机构在老年人突发危重疾病时，应当及时转送医疗机构救治并通知其紧急联系人。</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养老机构可以通过设立医疗机构或者采取与周边医疗机构合作的方式，为老年人提供医疗服务。养老机构设立医疗机构的，应当按照医疗机构管理相关法律法规进行管理。</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第二十条 养老机构发现老年人为传染病病人或者疑似传染病病人的，应当及时向附近的疾病预防控制机构或者医疗机构报告，配合实施卫生处理、隔离等预防控制措施。</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养老机构发现老年人为疑似精神障碍患者的，应当依照精神卫生相关法律法规的规定处理。</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第二十一条 养老机构应当根据需要为老年人提供情绪疏导、心理咨询、危机干预等精神慰藉服务。</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第二十二条 养老机构应当开展适合老年人的文化、教育、体育、娱乐活动，丰富老年人的精神文化生活。</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养老机构开展文化、教育、体育、娱乐活动时，应当为老年人提供必要的安全防护措施。</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第二十三条 养老机构应当为老年人家庭成员看望或者问候老年人提供便利，为老年人联系家庭成员提供帮助。</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第二十四条 鼓励养老机构运营社区养老服务设施，或者上门为居家老年人提供助餐、助浴、助洁等服务。</w:t>
      </w:r>
    </w:p>
    <w:p>
      <w:pPr>
        <w:spacing w:line="560" w:lineRule="exact"/>
        <w:ind w:firstLine="0" w:firstLineChars="0"/>
        <w:jc w:val="center"/>
        <w:rPr>
          <w:rFonts w:hint="eastAsia" w:ascii="仿宋_GB2312" w:hAnsi="Times New Roman" w:eastAsia="仿宋_GB2312" w:cs="Times New Roman"/>
          <w:b/>
          <w:bCs/>
          <w:szCs w:val="32"/>
        </w:rPr>
      </w:pPr>
      <w:r>
        <w:rPr>
          <w:rFonts w:hint="eastAsia" w:ascii="仿宋_GB2312" w:hAnsi="Times New Roman" w:eastAsia="仿宋_GB2312" w:cs="Times New Roman"/>
          <w:b/>
          <w:bCs/>
          <w:szCs w:val="32"/>
        </w:rPr>
        <w:t>第四章 运营管理</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第二十五条 养老机构应当按照国家有关规定建立健全安全、消防、食品、卫生、财务、档案管理等规章制度，制定服务标准和工作流程，并予以公开。</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第二十六条 养老机构应当配备与服务和运营相适应的工作人员，并依法与其签订聘用合同或者劳动合同，定期开展职业道德教育和业务培训。</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养老机构中从事医疗、康复、消防等服务的人员，应当具备相应的职业资格。</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养老机构应当加强对养老护理人员的职业技能培训，建立健全体现职业技能等级等因素的薪酬制度。</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第二十七条 养老机构应当依照其登记类型、经营性质、运营方式、设施设备条件、管理水平、服务质量、照料护理等级等因素合理确定服务项目的收费标准，并遵守国家和地方政府价格管理有关规定。</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养老机构应当在醒目位置公示各类服务项目收费标准和收费依据，接受社会监督。</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第二十八条 养老机构应当实行24小时值班，做好老年人安全保障工作。</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养老机构应当在各出入口、接待大厅、值班室、楼道、食堂等公共场所安装视频监控设施，并妥善保管视频监控记录。</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第二十九条 养老机构内设食堂的，应当取得市场监督管理部门颁发的食品经营许可证，严格遵守相关法律、法规和食品安全标准，执行原料控制、餐具饮具清洗消毒、食品留样等制度，并依法开展食堂食品安全自查。</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养老机构从供餐单位订餐的，应当从取得食品生产经营许可的供餐单位订购，并按照要求对订购的食品进行查验。</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第三十条 养老机构应当依法履行消防安全职责，健全消防安全管理制度，实行消防工作责任制，配置消防设施、器材并定期检测、维修，开展日常防火巡查、检查，定期组织灭火和应急疏散消防安全培训。</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养老机构的法定代表人或者主要负责人对本单位消防安全工作全面负责，属于消防安全重点单位的养老机构应当确定消防安全管理人，负责组织实施本单位消防安全管理工作，并报告当地消防救援机构。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第三十一条 养老机构应当依法制定自然灾害、事故灾难、公共卫生事件、社会安全事件等突发事件应急预案，在场所内配备报警装置和必要的应急救援设备、设施，定期开展突发事件应急演练。</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突发事件发生后，养老机构应当立即启动应急预案，采取防止危害扩大的必要处置措施，同时根据突发事件应对管理职责分工向有关部门和民政部门报告。</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第三十二条 养老机构应当建立老年人信息档案，收集和妥善保管服务协议等相关资料。档案的保管期限不少于服务协议期满后五年。</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养老机构及其工作人员应当保护老年人的个人信息和隐私。</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第三十三条 养老机构应当按照国家有关规定接受、使用捐赠、资助。</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鼓励养老机构为社会工作者、志愿者在机构内开展服务提供便利。</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第三十四条 鼓励养老机构投保责任保险，降低机构运营风险。</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第三十五条 养老机构因变更或者终止等原因暂停、终止服务的，应当在合理期限内提前书面通知老年人或者其代理人，并书面告知民政部门。</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老年人需要安置的，养老机构应当根据服务协议约定与老年人或者其代理人协商确定安置事宜。民政部门应当为养老机构妥善安置老年人提供帮助。</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养老机构终止服务后，应当依法清算并办理注销登记。</w:t>
      </w:r>
    </w:p>
    <w:p>
      <w:pPr>
        <w:spacing w:line="560" w:lineRule="exact"/>
        <w:ind w:firstLine="640"/>
        <w:jc w:val="center"/>
        <w:rPr>
          <w:rFonts w:hint="eastAsia" w:ascii="仿宋_GB2312" w:hAnsi="Times New Roman" w:eastAsia="仿宋_GB2312" w:cs="Times New Roman"/>
          <w:b/>
          <w:bCs/>
          <w:szCs w:val="32"/>
        </w:rPr>
      </w:pPr>
      <w:r>
        <w:rPr>
          <w:rFonts w:hint="eastAsia" w:ascii="仿宋_GB2312" w:hAnsi="Times New Roman" w:eastAsia="仿宋_GB2312" w:cs="Times New Roman"/>
          <w:b/>
          <w:bCs/>
          <w:szCs w:val="32"/>
        </w:rPr>
        <w:t>第五章 监督检查</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第三十六条 民政部门应当加强对养老机构服务和运营的监督检查，发现违反本办法规定的，及时依法予以处理并向社会公布。</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民政部门在监督检查中发现养老机构存在应当由其他部门查处的违法违规行为的，及时通报有关部门处理。</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第三十七条 民政部门依法履行监督检查职责，可以采取以下措施:</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(一)向养老机构和个人了解情况;</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(二)进入涉嫌违法的养老机构进行现场检查;</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(三)查阅或者复制有关合同、票据、账簿及其他有关资料;</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(四)发现养老机构存在可能危及人身健康和生命财产安全风险的，责令限期改正，逾期不改正的，责令停业整顿。</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民政部门实施监督检查时，监督检查人员不得少于2人，应当出示执法证件。</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对民政部门依法进行的监督检查，养老机构应当配合，如实提供相关资料和信息，不得隐瞒、拒绝、阻碍。</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民政部门应当每年对养老机构服务安全和质量进行不少于一次的现场检查。</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第三十九条 民政部门应当采取随机抽取检查对象、随机选派检查人员的方式对养老机构实施监督检查。抽查情况及查处结果应当及时向社会公布。</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民政部门应当结合养老机构的服务规模、信用记录、风险程度等情况，确定抽查比例和频次。对违法失信、风险高的养老机构，适当提高抽查比例和频次，依法依规实施严管和惩戒。</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第四十条 民政部门应当加强对养老机构非法集资的防范、监测和预警工作，发现养老机构涉嫌非法集资的，按照有关规定及时移交相关部门。</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第四十一条 民政部门应当充分利用信息技术手段，加强对养老机构的监督检查，提高监管能力和水平。</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第四十二条 民政部门应当定期开展养老服务行业统计工作，养老机构应当及时准确报送相关信息。</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第四十三条 养老机构应当听取老年人或者其代理人的意见和建议，发挥其对养老机构服务和运营的监督促进作用。</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第四十四条 民政部门应当畅通对养老机构的举报投诉渠道，依法及时处理有关举报投诉。</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第四十五条 民政部门发现个人或者组织未经登记以养老机构名义开展活动的，应当书面通报相关登记管理机关，并配合做好查处工作。</w:t>
      </w:r>
    </w:p>
    <w:p>
      <w:pPr>
        <w:spacing w:line="560" w:lineRule="exact"/>
        <w:ind w:firstLine="640"/>
        <w:jc w:val="center"/>
        <w:rPr>
          <w:rFonts w:hint="eastAsia" w:ascii="仿宋_GB2312" w:hAnsi="Times New Roman" w:eastAsia="仿宋_GB2312" w:cs="Times New Roman"/>
          <w:b/>
          <w:bCs/>
          <w:szCs w:val="32"/>
        </w:rPr>
      </w:pPr>
      <w:r>
        <w:rPr>
          <w:rFonts w:hint="eastAsia" w:ascii="仿宋_GB2312" w:hAnsi="Times New Roman" w:eastAsia="仿宋_GB2312" w:cs="Times New Roman"/>
          <w:b/>
          <w:bCs/>
          <w:szCs w:val="32"/>
        </w:rPr>
        <w:t>第六章 法律责任</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第四十六条 养老机构有下列行为之一的，由民政部门责令改正，给予警告;情节严重的，处以3万元以下的罚款:</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(一)未建立入院评估制度或者未按照规定开展评估活动的;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(二)未与老年人或者其代理人签订服务协议，或者未按照协议约定提供服务的;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(三)未按照有关强制性国家标准提供服务的;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(四)工作人员的资格不符合规定的;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(五)利用养老机构的房屋、场地、设施开展与养老服务宗旨无关的活动的;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(六)未依照本办法规定预防和处置突发事件的;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(七)歧视、侮辱、虐待老年人以及其他侵害老年人人身和财产权益行为的;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(八)向负责监督检查的民政部门隐瞒有关情况、提供虚假材料或者拒绝提供反映其活动情况真实材料的;</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(九)法律、法规、规章规定的其他违法行为。</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养老机构及其工作人员违反本办法有关规定，构成违反治安管理行为的，依法给予治安管理处罚;构成犯罪的，依法追究刑事责任。</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第四十七条 民政部门及其工作人员在监督管理工作中滥用职权、玩忽职守、徇私舞弊的，对直接负责的主管人员和其他责任人员依法依规给予处分;构成犯罪的，依法追究刑事责任。</w:t>
      </w:r>
    </w:p>
    <w:p>
      <w:pPr>
        <w:spacing w:line="560" w:lineRule="exact"/>
        <w:ind w:firstLine="640"/>
        <w:jc w:val="center"/>
        <w:rPr>
          <w:rFonts w:hint="eastAsia" w:ascii="仿宋_GB2312" w:hAnsi="Times New Roman" w:eastAsia="仿宋_GB2312" w:cs="Times New Roman"/>
          <w:b/>
          <w:bCs/>
          <w:szCs w:val="32"/>
        </w:rPr>
      </w:pPr>
      <w:r>
        <w:rPr>
          <w:rFonts w:hint="eastAsia" w:ascii="仿宋_GB2312" w:hAnsi="Times New Roman" w:eastAsia="仿宋_GB2312" w:cs="Times New Roman"/>
          <w:b/>
          <w:bCs/>
          <w:szCs w:val="32"/>
        </w:rPr>
        <w:t>第</w:t>
      </w:r>
      <w:bookmarkStart w:id="2" w:name="_GoBack"/>
      <w:bookmarkEnd w:id="2"/>
      <w:r>
        <w:rPr>
          <w:rFonts w:hint="eastAsia" w:ascii="仿宋_GB2312" w:hAnsi="Times New Roman" w:eastAsia="仿宋_GB2312" w:cs="Times New Roman"/>
          <w:b/>
          <w:bCs/>
          <w:szCs w:val="32"/>
        </w:rPr>
        <w:t>七章 附 则</w:t>
      </w:r>
      <w:r>
        <w:rPr>
          <w:rFonts w:hint="eastAsia" w:ascii="仿宋_GB2312" w:hAnsi="Times New Roman" w:eastAsia="仿宋_GB2312" w:cs="Times New Roman"/>
          <w:b/>
          <w:bCs/>
          <w:szCs w:val="32"/>
        </w:rPr>
        <w:br w:type="textWrapping"/>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第四十八条 国家对农村五保供养服务机构的管理有特别规定的，依照其规定办理。</w:t>
      </w:r>
    </w:p>
    <w:p>
      <w:pPr>
        <w:spacing w:line="560" w:lineRule="exact"/>
        <w:ind w:firstLine="640"/>
        <w:jc w:val="left"/>
        <w:rPr>
          <w:rFonts w:hint="eastAsia" w:ascii="仿宋_GB2312" w:hAnsi="Times New Roman" w:eastAsia="仿宋_GB2312" w:cs="Times New Roman"/>
          <w:szCs w:val="32"/>
        </w:rPr>
      </w:pPr>
      <w:r>
        <w:rPr>
          <w:rFonts w:hint="eastAsia" w:ascii="仿宋_GB2312" w:hAnsi="Times New Roman" w:eastAsia="仿宋_GB2312" w:cs="Times New Roman"/>
          <w:szCs w:val="32"/>
        </w:rPr>
        <w:t>第四十九条 本办法自2020年11月1日起施行。2013年6月28日民政部发布的《养老机构管理办法》同时废止。</w:t>
      </w:r>
    </w:p>
    <w:p>
      <w:pPr>
        <w:spacing w:line="560" w:lineRule="exact"/>
        <w:ind w:firstLine="640"/>
        <w:rPr>
          <w:rFonts w:hint="eastAsia" w:ascii="仿宋_GB2312" w:eastAsia="仿宋_GB231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MjllMGVmYjVjZDhiNDJiYjEyZDJkNDZiN2VkOTUifQ=="/>
  </w:docVars>
  <w:rsids>
    <w:rsidRoot w:val="00CB2C23"/>
    <w:rsid w:val="000A2280"/>
    <w:rsid w:val="00276183"/>
    <w:rsid w:val="007D7B80"/>
    <w:rsid w:val="00C75671"/>
    <w:rsid w:val="00CB2C23"/>
    <w:rsid w:val="109D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both"/>
    </w:pPr>
    <w:rPr>
      <w:rFonts w:ascii="Calibri" w:hAnsi="Calibri" w:eastAsia="仿宋" w:cs="黑体"/>
      <w:kern w:val="2"/>
      <w:sz w:val="32"/>
      <w:szCs w:val="22"/>
      <w:lang w:val="en-US" w:eastAsia="zh-CN" w:bidi="ar-SA"/>
    </w:rPr>
  </w:style>
  <w:style w:type="paragraph" w:styleId="2">
    <w:name w:val="heading 2"/>
    <w:basedOn w:val="1"/>
    <w:next w:val="1"/>
    <w:link w:val="9"/>
    <w:qFormat/>
    <w:uiPriority w:val="0"/>
    <w:pPr>
      <w:keepNext/>
      <w:keepLines/>
      <w:pageBreakBefore/>
      <w:ind w:firstLine="0" w:firstLineChars="0"/>
      <w:jc w:val="center"/>
      <w:outlineLvl w:val="1"/>
    </w:pPr>
    <w:rPr>
      <w:rFonts w:ascii="Arial" w:hAnsi="Arial" w:eastAsia="方正小标宋简体"/>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2 字符"/>
    <w:basedOn w:val="6"/>
    <w:link w:val="2"/>
    <w:uiPriority w:val="0"/>
    <w:rPr>
      <w:rFonts w:ascii="Arial" w:hAnsi="Arial" w:eastAsia="方正小标宋简体" w:cs="黑体"/>
      <w:sz w:val="32"/>
    </w:rPr>
  </w:style>
  <w:style w:type="character" w:customStyle="1" w:styleId="10">
    <w:name w:val="标题 2 Char1"/>
    <w:uiPriority w:val="0"/>
    <w:rPr>
      <w:rFonts w:ascii="Arial" w:hAnsi="Arial" w:eastAsia="方正小标宋简体"/>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5059</Words>
  <Characters>5085</Characters>
  <Lines>37</Lines>
  <Paragraphs>10</Paragraphs>
  <TotalTime>20</TotalTime>
  <ScaleCrop>false</ScaleCrop>
  <LinksUpToDate>false</LinksUpToDate>
  <CharactersWithSpaces>5143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2021-04-14T02:23:00Z</dcterms:created>
  <dc:creator> </dc:creator>
  <cp:lastModifiedBy>赵蕾</cp:lastModifiedBy>
  <dcterms:modified xsi:type="dcterms:W3CDTF">2023-05-05T11:06:10Z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183657D057BD45959737F437BDDC5DC0_12</vt:lpwstr>
  </property>
</Properties>
</file>