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2" w:tblpY="237"/>
        <w:tblOverlap w:val="never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年度职工非因工伤残或因病              劳动能力鉴定结论公示表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乌鲁木齐银手指物业服务有限公司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陆井华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新疆北新路桥集团股份有限公司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芦理江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新疆生产建设兵团第十一师第四中学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宋守军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32"/>
                <w:szCs w:val="32"/>
                <w:lang w:val="en-US" w:eastAsia="zh-CN"/>
              </w:rPr>
              <w:t>灵活就业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贾朋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</w:p>
    <w:p>
      <w:pPr>
        <w:spacing w:line="480" w:lineRule="exact"/>
        <w:jc w:val="both"/>
        <w:rPr>
          <w:rStyle w:val="4"/>
          <w:rFonts w:ascii="黑体" w:hAnsi="黑体" w:eastAsia="黑体"/>
          <w:color w:val="2B2B2B"/>
          <w:sz w:val="32"/>
          <w:szCs w:val="32"/>
        </w:rPr>
      </w:pPr>
    </w:p>
    <w:p/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250C5C7E"/>
    <w:rsid w:val="250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2024-02-04T07:59:00Z</dcterms:created>
  <dc:creator>admin</dc:creator>
  <cp:lastModifiedBy>admin</cp:lastModifiedBy>
  <dcterms:modified xsi:type="dcterms:W3CDTF">2024-02-04T08:00:25Z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75EDC0A0855447629ED56200431E285A_11</vt:lpwstr>
  </property>
</Properties>
</file>