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autoSpaceDN/>
        <w:snapToGrid/>
        <w:spacing w:line="240" w:lineRule="auto"/>
        <w:ind w:firstLine="0"/>
        <w:jc w:val="center"/>
        <w:rPr>
          <w:rFonts w:hint="eastAsia" w:ascii="方正小标宋_GBK" w:hAnsi="宋体" w:eastAsia="方正小标宋_GBK" w:cs="宋体"/>
          <w:b/>
          <w:bCs/>
          <w:snapToGrid/>
          <w:color w:val="333333"/>
          <w:sz w:val="44"/>
          <w:szCs w:val="44"/>
        </w:rPr>
      </w:pPr>
      <w:r>
        <w:rPr>
          <w:rFonts w:hint="eastAsia" w:ascii="方正小标宋_GBK" w:hAnsi="宋体" w:eastAsia="方正小标宋_GBK" w:cs="宋体"/>
          <w:b/>
          <w:bCs/>
          <w:snapToGrid/>
          <w:color w:val="333333"/>
          <w:sz w:val="44"/>
          <w:szCs w:val="44"/>
          <w:lang w:val="en-US" w:eastAsia="zh-CN"/>
        </w:rPr>
        <w:t>审计局2021年</w:t>
      </w:r>
      <w:r>
        <w:rPr>
          <w:rFonts w:hint="eastAsia" w:ascii="方正小标宋_GBK" w:hAnsi="宋体" w:eastAsia="方正小标宋_GBK" w:cs="宋体"/>
          <w:b/>
          <w:bCs/>
          <w:snapToGrid/>
          <w:color w:val="333333"/>
          <w:sz w:val="44"/>
          <w:szCs w:val="44"/>
        </w:rPr>
        <w:t>政府信息公开工作年度报告</w:t>
      </w:r>
    </w:p>
    <w:p>
      <w:pPr>
        <w:widowControl/>
        <w:shd w:val="clear" w:color="auto" w:fill="FFFFFF"/>
        <w:autoSpaceDE/>
        <w:autoSpaceDN/>
        <w:snapToGrid/>
        <w:spacing w:line="240" w:lineRule="auto"/>
        <w:ind w:firstLine="480"/>
        <w:rPr>
          <w:rFonts w:ascii="黑体" w:hAnsi="黑体" w:eastAsia="黑体" w:cs="宋体"/>
          <w:snapToGrid/>
          <w:color w:val="333333"/>
          <w:szCs w:val="32"/>
        </w:rPr>
      </w:pPr>
      <w:r>
        <w:rPr>
          <w:rFonts w:hint="eastAsia" w:ascii="黑体" w:hAnsi="黑体" w:eastAsia="黑体" w:cs="宋体"/>
          <w:b/>
          <w:bCs/>
          <w:snapToGrid/>
          <w:color w:val="333333"/>
          <w:szCs w:val="32"/>
        </w:rPr>
        <w:t>一、总体情况</w:t>
      </w:r>
    </w:p>
    <w:p>
      <w:pPr>
        <w:widowControl/>
        <w:shd w:val="clear" w:color="auto" w:fill="FFFFFF"/>
        <w:autoSpaceDE/>
        <w:autoSpaceDN/>
        <w:snapToGrid/>
        <w:spacing w:line="240" w:lineRule="auto"/>
        <w:ind w:firstLine="480"/>
        <w:rPr>
          <w:rFonts w:hint="eastAsia" w:ascii="仿宋_GB2312" w:hAnsi="宋体" w:eastAsia="仿宋_GB2312" w:cs="宋体"/>
          <w:snapToGrid/>
          <w:color w:val="333333"/>
          <w:szCs w:val="32"/>
        </w:rPr>
      </w:pPr>
      <w:r>
        <w:rPr>
          <w:rFonts w:hint="eastAsia" w:ascii="仿宋_GB2312" w:hAnsi="宋体" w:eastAsia="仿宋_GB2312" w:cs="宋体"/>
          <w:snapToGrid/>
          <w:color w:val="333333"/>
          <w:szCs w:val="32"/>
        </w:rPr>
        <w:t>202</w:t>
      </w:r>
      <w:r>
        <w:rPr>
          <w:rFonts w:hint="eastAsia" w:ascii="仿宋_GB2312" w:hAnsi="宋体" w:eastAsia="仿宋_GB2312" w:cs="宋体"/>
          <w:snapToGrid/>
          <w:color w:val="333333"/>
          <w:szCs w:val="32"/>
          <w:lang w:val="en-US" w:eastAsia="zh-CN"/>
        </w:rPr>
        <w:t>1</w:t>
      </w:r>
      <w:r>
        <w:rPr>
          <w:rFonts w:hint="eastAsia" w:ascii="仿宋_GB2312" w:hAnsi="宋体" w:eastAsia="仿宋_GB2312" w:cs="宋体"/>
          <w:snapToGrid/>
          <w:color w:val="333333"/>
          <w:szCs w:val="32"/>
        </w:rPr>
        <w:t>年，</w:t>
      </w:r>
      <w:r>
        <w:rPr>
          <w:rFonts w:hint="eastAsia" w:ascii="仿宋_GB2312" w:hAnsi="宋体" w:eastAsia="仿宋_GB2312" w:cs="宋体"/>
          <w:snapToGrid/>
          <w:color w:val="333333"/>
          <w:szCs w:val="32"/>
          <w:lang w:val="en-US" w:eastAsia="zh-CN"/>
        </w:rPr>
        <w:t>师</w:t>
      </w:r>
      <w:r>
        <w:rPr>
          <w:rFonts w:hint="eastAsia" w:ascii="仿宋_GB2312" w:hAnsi="宋体" w:eastAsia="仿宋_GB2312" w:cs="宋体"/>
          <w:snapToGrid/>
          <w:color w:val="333333"/>
          <w:szCs w:val="32"/>
        </w:rPr>
        <w:t>审计局在兵团审计局和师党委的正确领导下，坚持以习近平新时代中国特色社会主义思想为指导，深入贯彻落实党的十九大、十九届二中、三中、四中、五中</w:t>
      </w:r>
      <w:r>
        <w:rPr>
          <w:rFonts w:hint="eastAsia" w:ascii="仿宋_GB2312" w:hAnsi="宋体" w:eastAsia="仿宋_GB2312" w:cs="宋体"/>
          <w:snapToGrid/>
          <w:color w:val="333333"/>
          <w:szCs w:val="32"/>
          <w:lang w:val="en-US" w:eastAsia="zh-CN"/>
        </w:rPr>
        <w:t>全会</w:t>
      </w:r>
      <w:bookmarkStart w:id="0" w:name="_GoBack"/>
      <w:bookmarkEnd w:id="0"/>
      <w:r>
        <w:rPr>
          <w:rFonts w:hint="eastAsia" w:ascii="仿宋_GB2312" w:hAnsi="宋体" w:eastAsia="仿宋_GB2312" w:cs="宋体"/>
          <w:snapToGrid/>
          <w:color w:val="333333"/>
          <w:szCs w:val="32"/>
        </w:rPr>
        <w:t>精神，切实加强对重点领域、重点部门和重点资金的审计监督，依法履行审计监督职责。</w:t>
      </w:r>
      <w:r>
        <w:rPr>
          <w:rFonts w:hint="eastAsia" w:ascii="仿宋_GB2312" w:hAnsi="宋体" w:eastAsia="仿宋_GB2312" w:cs="宋体"/>
          <w:snapToGrid/>
          <w:color w:val="333333"/>
          <w:szCs w:val="32"/>
          <w:lang w:val="en-US" w:eastAsia="zh-CN"/>
        </w:rPr>
        <w:t>现</w:t>
      </w:r>
      <w:r>
        <w:rPr>
          <w:rFonts w:hint="eastAsia" w:ascii="仿宋_GB2312" w:hAnsi="宋体" w:eastAsia="仿宋_GB2312" w:cs="宋体"/>
          <w:snapToGrid/>
          <w:color w:val="333333"/>
          <w:szCs w:val="32"/>
        </w:rPr>
        <w:t>根据《中华人民共和国政府信息公开条例》</w:t>
      </w:r>
      <w:r>
        <w:rPr>
          <w:rFonts w:hint="eastAsia" w:ascii="仿宋_GB2312" w:hAnsi="宋体" w:eastAsia="仿宋_GB2312" w:cs="宋体"/>
          <w:snapToGrid/>
          <w:color w:val="333333"/>
          <w:szCs w:val="32"/>
          <w:lang w:val="en-US" w:eastAsia="zh-CN"/>
        </w:rPr>
        <w:t>规定和《国务院办公厅政府信息与政务公开办公室关于印发中华人民共和国政府信息公开工作年度报告格式的通知》(国办公开办函[2021J30号)要求</w:t>
      </w:r>
      <w:r>
        <w:rPr>
          <w:rFonts w:hint="eastAsia" w:ascii="仿宋_GB2312" w:hAnsi="宋体" w:eastAsia="仿宋_GB2312" w:cs="宋体"/>
          <w:snapToGrid/>
          <w:color w:val="333333"/>
          <w:szCs w:val="32"/>
        </w:rPr>
        <w:t>，从审计工作实际出发，</w:t>
      </w:r>
      <w:r>
        <w:rPr>
          <w:rFonts w:hint="eastAsia" w:ascii="仿宋_GB2312" w:hAnsi="宋体" w:eastAsia="仿宋_GB2312" w:cs="宋体"/>
          <w:snapToGrid/>
          <w:color w:val="333333"/>
          <w:szCs w:val="32"/>
          <w:lang w:val="en-US" w:eastAsia="zh-CN"/>
        </w:rPr>
        <w:t>主动公开</w:t>
      </w:r>
      <w:r>
        <w:rPr>
          <w:rFonts w:hint="eastAsia" w:ascii="仿宋_GB2312" w:hAnsi="宋体" w:eastAsia="仿宋_GB2312" w:cs="宋体"/>
          <w:snapToGrid/>
          <w:color w:val="333333"/>
          <w:szCs w:val="32"/>
        </w:rPr>
        <w:t>202</w:t>
      </w:r>
      <w:r>
        <w:rPr>
          <w:rFonts w:hint="eastAsia" w:ascii="仿宋_GB2312" w:hAnsi="宋体" w:eastAsia="仿宋_GB2312" w:cs="宋体"/>
          <w:snapToGrid/>
          <w:color w:val="333333"/>
          <w:szCs w:val="32"/>
          <w:lang w:val="en-US" w:eastAsia="zh-CN"/>
        </w:rPr>
        <w:t>1</w:t>
      </w:r>
      <w:r>
        <w:rPr>
          <w:rFonts w:hint="eastAsia" w:ascii="仿宋_GB2312" w:hAnsi="宋体" w:eastAsia="仿宋_GB2312" w:cs="宋体"/>
          <w:snapToGrid/>
          <w:color w:val="333333"/>
          <w:szCs w:val="32"/>
        </w:rPr>
        <w:t>年政府信息情况。</w:t>
      </w:r>
    </w:p>
    <w:p>
      <w:pPr>
        <w:widowControl/>
        <w:shd w:val="clear" w:color="auto" w:fill="FFFFFF"/>
        <w:autoSpaceDE/>
        <w:autoSpaceDN/>
        <w:snapToGrid/>
        <w:spacing w:line="240" w:lineRule="auto"/>
        <w:ind w:firstLine="480"/>
        <w:rPr>
          <w:rFonts w:ascii="黑体" w:hAnsi="黑体" w:eastAsia="黑体" w:cs="宋体"/>
          <w:b/>
          <w:bCs/>
          <w:snapToGrid/>
          <w:color w:val="333333"/>
          <w:szCs w:val="32"/>
        </w:rPr>
      </w:pPr>
      <w:r>
        <w:rPr>
          <w:rFonts w:hint="eastAsia" w:ascii="黑体" w:hAnsi="黑体" w:eastAsia="黑体" w:cs="宋体"/>
          <w:b/>
          <w:bCs/>
          <w:snapToGrid/>
          <w:color w:val="333333"/>
          <w:szCs w:val="32"/>
        </w:rPr>
        <w:t>二、主动公开政府信息情况</w:t>
      </w:r>
    </w:p>
    <w:p>
      <w:pPr>
        <w:widowControl/>
        <w:shd w:val="clear" w:color="auto" w:fill="FFFFFF"/>
        <w:autoSpaceDE/>
        <w:autoSpaceDN/>
        <w:snapToGrid/>
        <w:spacing w:line="240" w:lineRule="auto"/>
        <w:ind w:firstLine="480"/>
        <w:rPr>
          <w:rFonts w:ascii="宋体" w:hAnsi="宋体" w:eastAsia="宋体" w:cs="宋体"/>
          <w:snapToGrid/>
          <w:color w:val="333333"/>
          <w:sz w:val="24"/>
          <w:szCs w:val="24"/>
        </w:rPr>
      </w:pPr>
    </w:p>
    <w:tbl>
      <w:tblPr>
        <w:tblStyle w:val="4"/>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ascii="Calibri" w:hAnsi="Calibri" w:eastAsia="宋体" w:cs="Calibri"/>
                <w:snapToGrid/>
                <w:sz w:val="21"/>
                <w:szCs w:val="21"/>
              </w:rPr>
              <w:t> </w:t>
            </w:r>
            <w:r>
              <w:rPr>
                <w:rFonts w:hint="eastAsia" w:ascii="Calibri" w:hAnsi="Calibri" w:eastAsia="宋体" w:cs="Calibri"/>
                <w:snapToGrid/>
                <w:sz w:val="21"/>
                <w:szCs w:val="21"/>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default"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ascii="Calibri" w:hAnsi="Calibri" w:eastAsia="宋体" w:cs="Calibri"/>
                <w:snapToGrid/>
                <w:sz w:val="21"/>
                <w:szCs w:val="21"/>
              </w:rPr>
              <w:t> </w:t>
            </w:r>
            <w:r>
              <w:rPr>
                <w:rFonts w:hint="eastAsia" w:ascii="Calibri" w:hAnsi="Calibri" w:eastAsia="宋体" w:cs="Calibri"/>
                <w:snapToGrid/>
                <w:sz w:val="21"/>
                <w:szCs w:val="21"/>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ascii="Calibri" w:hAnsi="Calibri" w:eastAsia="宋体" w:cs="Calibri"/>
                <w:snapToGrid/>
                <w:sz w:val="21"/>
                <w:szCs w:val="21"/>
              </w:rPr>
              <w:t> </w:t>
            </w:r>
            <w:r>
              <w:rPr>
                <w:rFonts w:hint="eastAsia" w:ascii="Calibri" w:hAnsi="Calibri" w:eastAsia="宋体" w:cs="Calibri"/>
                <w:snapToGrid/>
                <w:sz w:val="21"/>
                <w:szCs w:val="21"/>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autoSpaceDE/>
        <w:autoSpaceDN/>
        <w:snapToGrid/>
        <w:spacing w:line="240" w:lineRule="auto"/>
        <w:ind w:firstLine="0"/>
        <w:jc w:val="left"/>
        <w:rPr>
          <w:rFonts w:ascii="宋体" w:hAnsi="宋体" w:eastAsia="宋体" w:cs="宋体"/>
          <w:snapToGrid/>
          <w:sz w:val="24"/>
          <w:szCs w:val="24"/>
        </w:rPr>
      </w:pPr>
    </w:p>
    <w:p>
      <w:pPr>
        <w:widowControl/>
        <w:autoSpaceDE/>
        <w:autoSpaceDN/>
        <w:snapToGrid/>
        <w:spacing w:line="240" w:lineRule="auto"/>
        <w:ind w:firstLine="0"/>
        <w:jc w:val="left"/>
        <w:rPr>
          <w:rFonts w:ascii="宋体" w:hAnsi="宋体" w:eastAsia="宋体" w:cs="宋体"/>
          <w:snapToGrid/>
          <w:sz w:val="24"/>
          <w:szCs w:val="24"/>
        </w:rPr>
      </w:pPr>
    </w:p>
    <w:p>
      <w:pPr>
        <w:widowControl/>
        <w:autoSpaceDE/>
        <w:autoSpaceDN/>
        <w:snapToGrid/>
        <w:spacing w:line="240" w:lineRule="auto"/>
        <w:ind w:firstLine="0"/>
        <w:jc w:val="left"/>
        <w:rPr>
          <w:rFonts w:ascii="宋体" w:hAnsi="宋体" w:eastAsia="宋体" w:cs="宋体"/>
          <w:snapToGrid/>
          <w:sz w:val="24"/>
          <w:szCs w:val="24"/>
        </w:rPr>
      </w:pPr>
    </w:p>
    <w:p>
      <w:pPr>
        <w:widowControl/>
        <w:shd w:val="clear" w:color="auto" w:fill="FFFFFF"/>
        <w:autoSpaceDE/>
        <w:autoSpaceDN/>
        <w:snapToGrid/>
        <w:spacing w:line="240" w:lineRule="auto"/>
        <w:ind w:firstLine="480"/>
        <w:rPr>
          <w:rFonts w:ascii="黑体" w:hAnsi="黑体" w:eastAsia="黑体" w:cs="宋体"/>
          <w:b/>
          <w:bCs/>
          <w:snapToGrid/>
          <w:color w:val="333333"/>
          <w:szCs w:val="32"/>
        </w:rPr>
      </w:pPr>
      <w:r>
        <w:rPr>
          <w:rFonts w:hint="eastAsia" w:ascii="黑体" w:hAnsi="黑体" w:eastAsia="黑体" w:cs="宋体"/>
          <w:b/>
          <w:bCs/>
          <w:snapToGrid/>
          <w:color w:val="333333"/>
          <w:szCs w:val="32"/>
        </w:rPr>
        <w:t>三、收到和处理政府信息公开申请情况</w:t>
      </w:r>
    </w:p>
    <w:p>
      <w:pPr>
        <w:widowControl/>
        <w:shd w:val="clear" w:color="auto" w:fill="FFFFFF"/>
        <w:autoSpaceDE/>
        <w:autoSpaceDN/>
        <w:snapToGrid/>
        <w:spacing w:line="240" w:lineRule="auto"/>
        <w:ind w:firstLine="480"/>
        <w:rPr>
          <w:rFonts w:ascii="宋体" w:hAnsi="宋体" w:eastAsia="宋体" w:cs="宋体"/>
          <w:snapToGrid/>
          <w:color w:val="333333"/>
          <w:sz w:val="24"/>
          <w:szCs w:val="24"/>
        </w:rPr>
      </w:pPr>
    </w:p>
    <w:tbl>
      <w:tblPr>
        <w:tblStyle w:val="4"/>
        <w:tblW w:w="9748" w:type="dxa"/>
        <w:jc w:val="center"/>
        <w:tblLayout w:type="autofit"/>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商业</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科研</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hint="eastAsia" w:ascii="宋体" w:hAnsi="宋体" w:eastAsia="宋体" w:cs="宋体"/>
                <w:snapToGrid/>
                <w:sz w:val="24"/>
                <w:szCs w:val="24"/>
                <w:lang w:val="en-US" w:eastAsia="zh-CN"/>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shd w:val="clear" w:color="auto" w:fill="FFFFFF"/>
        <w:autoSpaceDE/>
        <w:autoSpaceDN/>
        <w:snapToGrid/>
        <w:spacing w:line="240" w:lineRule="auto"/>
        <w:ind w:firstLine="0"/>
        <w:jc w:val="center"/>
        <w:rPr>
          <w:rFonts w:ascii="宋体" w:hAnsi="宋体" w:eastAsia="宋体" w:cs="宋体"/>
          <w:snapToGrid/>
          <w:color w:val="333333"/>
          <w:sz w:val="24"/>
          <w:szCs w:val="24"/>
        </w:rPr>
      </w:pPr>
    </w:p>
    <w:p>
      <w:pPr>
        <w:widowControl/>
        <w:shd w:val="clear" w:color="auto" w:fill="FFFFFF"/>
        <w:autoSpaceDE/>
        <w:autoSpaceDN/>
        <w:snapToGrid/>
        <w:spacing w:line="240" w:lineRule="auto"/>
        <w:ind w:firstLine="480"/>
        <w:rPr>
          <w:rFonts w:ascii="黑体" w:hAnsi="黑体" w:eastAsia="黑体" w:cs="宋体"/>
          <w:b/>
          <w:bCs/>
          <w:snapToGrid/>
          <w:color w:val="333333"/>
          <w:szCs w:val="32"/>
        </w:rPr>
      </w:pPr>
    </w:p>
    <w:p>
      <w:pPr>
        <w:widowControl/>
        <w:shd w:val="clear" w:color="auto" w:fill="FFFFFF"/>
        <w:autoSpaceDE/>
        <w:autoSpaceDN/>
        <w:snapToGrid/>
        <w:spacing w:line="240" w:lineRule="auto"/>
        <w:ind w:firstLine="480"/>
        <w:rPr>
          <w:rFonts w:ascii="黑体" w:hAnsi="黑体" w:eastAsia="黑体" w:cs="宋体"/>
          <w:snapToGrid/>
          <w:color w:val="333333"/>
          <w:szCs w:val="32"/>
        </w:rPr>
      </w:pPr>
      <w:r>
        <w:rPr>
          <w:rFonts w:hint="eastAsia" w:ascii="黑体" w:hAnsi="黑体" w:eastAsia="黑体" w:cs="宋体"/>
          <w:b/>
          <w:bCs/>
          <w:snapToGrid/>
          <w:color w:val="333333"/>
          <w:szCs w:val="32"/>
        </w:rPr>
        <w:t>四、政府信息公开行政复议、行政诉讼情况</w:t>
      </w:r>
    </w:p>
    <w:p>
      <w:pPr>
        <w:widowControl/>
        <w:shd w:val="clear" w:color="auto" w:fill="FFFFFF"/>
        <w:autoSpaceDE/>
        <w:autoSpaceDN/>
        <w:snapToGrid/>
        <w:spacing w:line="240" w:lineRule="auto"/>
        <w:ind w:firstLine="0"/>
        <w:jc w:val="center"/>
        <w:rPr>
          <w:rFonts w:ascii="宋体" w:hAnsi="宋体" w:eastAsia="宋体" w:cs="宋体"/>
          <w:snapToGrid/>
          <w:color w:val="333333"/>
          <w:sz w:val="24"/>
          <w:szCs w:val="24"/>
        </w:rPr>
      </w:pPr>
    </w:p>
    <w:tbl>
      <w:tblPr>
        <w:tblStyle w:val="4"/>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eastAsia="zh-CN"/>
              </w:rPr>
            </w:pPr>
            <w:r>
              <w:rPr>
                <w:rFonts w:hint="eastAsia" w:ascii="宋体" w:hAnsi="宋体" w:eastAsia="宋体" w:cs="宋体"/>
                <w:snapToGrid/>
                <w:color w:val="000000"/>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autoSpaceDE/>
        <w:autoSpaceDN/>
        <w:snapToGrid/>
        <w:spacing w:line="240" w:lineRule="auto"/>
        <w:ind w:firstLine="0"/>
        <w:jc w:val="left"/>
        <w:rPr>
          <w:rFonts w:ascii="宋体" w:hAnsi="宋体" w:eastAsia="宋体" w:cs="宋体"/>
          <w:snapToGrid/>
          <w:sz w:val="24"/>
          <w:szCs w:val="24"/>
        </w:rPr>
      </w:pPr>
    </w:p>
    <w:p>
      <w:pPr>
        <w:widowControl/>
        <w:shd w:val="clear" w:color="auto" w:fill="FFFFFF"/>
        <w:autoSpaceDE/>
        <w:autoSpaceDN/>
        <w:snapToGrid/>
        <w:spacing w:line="240" w:lineRule="auto"/>
        <w:ind w:firstLine="480"/>
        <w:rPr>
          <w:rFonts w:ascii="黑体" w:hAnsi="黑体" w:eastAsia="黑体" w:cs="宋体"/>
          <w:snapToGrid/>
          <w:color w:val="333333"/>
          <w:szCs w:val="32"/>
        </w:rPr>
      </w:pPr>
      <w:r>
        <w:rPr>
          <w:rFonts w:hint="eastAsia" w:ascii="黑体" w:hAnsi="黑体" w:eastAsia="黑体" w:cs="宋体"/>
          <w:b/>
          <w:bCs/>
          <w:snapToGrid/>
          <w:color w:val="333333"/>
          <w:szCs w:val="32"/>
        </w:rPr>
        <w:t>五、存在的主要问题及改进情况</w:t>
      </w:r>
    </w:p>
    <w:p>
      <w:pPr>
        <w:widowControl/>
        <w:shd w:val="clear" w:color="auto" w:fill="FFFFFF"/>
        <w:autoSpaceDE/>
        <w:autoSpaceDN/>
        <w:snapToGrid/>
        <w:spacing w:line="240" w:lineRule="auto"/>
        <w:ind w:firstLine="480"/>
        <w:rPr>
          <w:rFonts w:hint="eastAsia" w:ascii="黑体" w:hAnsi="黑体" w:eastAsia="黑体" w:cs="宋体"/>
          <w:b/>
          <w:bCs/>
          <w:snapToGrid/>
          <w:color w:val="333333"/>
          <w:szCs w:val="32"/>
        </w:rPr>
      </w:pPr>
      <w:r>
        <w:rPr>
          <w:rFonts w:hint="eastAsia" w:ascii="仿宋_GB2312" w:hAnsi="宋体" w:eastAsia="仿宋_GB2312" w:cs="宋体"/>
          <w:snapToGrid/>
          <w:color w:val="333333"/>
          <w:szCs w:val="32"/>
          <w:lang w:val="en-US" w:eastAsia="zh-CN"/>
        </w:rPr>
        <w:t>2021年我局在推动政务公开工作方面做了进行了探索和尝试</w:t>
      </w:r>
      <w:r>
        <w:rPr>
          <w:rFonts w:hint="eastAsia" w:ascii="仿宋_GB2312" w:hAnsi="宋体" w:eastAsia="仿宋_GB2312" w:cs="宋体"/>
          <w:snapToGrid/>
          <w:color w:val="333333"/>
          <w:szCs w:val="32"/>
        </w:rPr>
        <w:t>，充分发挥了审计监督与舆论监督的合力作用</w:t>
      </w:r>
      <w:r>
        <w:rPr>
          <w:rFonts w:hint="eastAsia" w:ascii="仿宋_GB2312" w:hAnsi="宋体" w:eastAsia="仿宋_GB2312" w:cs="宋体"/>
          <w:snapToGrid/>
          <w:color w:val="333333"/>
          <w:szCs w:val="32"/>
          <w:lang w:eastAsia="zh-CN"/>
        </w:rPr>
        <w:t>，</w:t>
      </w:r>
      <w:r>
        <w:rPr>
          <w:rFonts w:hint="eastAsia" w:ascii="仿宋_GB2312" w:hAnsi="宋体" w:eastAsia="仿宋_GB2312" w:cs="宋体"/>
          <w:snapToGrid/>
          <w:color w:val="333333"/>
          <w:szCs w:val="32"/>
          <w:lang w:val="en-US" w:eastAsia="zh-CN"/>
        </w:rPr>
        <w:t>我局将在2022年</w:t>
      </w:r>
      <w:r>
        <w:rPr>
          <w:rFonts w:hint="eastAsia" w:ascii="仿宋_GB2312" w:hAnsi="宋体" w:eastAsia="仿宋_GB2312" w:cs="宋体"/>
          <w:snapToGrid/>
          <w:color w:val="333333"/>
          <w:szCs w:val="32"/>
        </w:rPr>
        <w:t>加强对政务公开制度相关规定的学习和掌握，进一步提高认识，加强政务公开工作主观能动性。充分发挥网站政府信息公开平台作用，对网站信息更新等开展督促检查，提高政务公开工作人员的政策把握能力、舆情研判能力、信息处理能力。</w:t>
      </w:r>
    </w:p>
    <w:p>
      <w:pPr>
        <w:widowControl/>
        <w:shd w:val="clear" w:color="auto" w:fill="FFFFFF"/>
        <w:autoSpaceDE/>
        <w:autoSpaceDN/>
        <w:snapToGrid/>
        <w:spacing w:line="240" w:lineRule="auto"/>
        <w:ind w:firstLine="480"/>
        <w:rPr>
          <w:rFonts w:ascii="黑体" w:hAnsi="黑体" w:eastAsia="黑体" w:cs="宋体"/>
          <w:b/>
          <w:bCs/>
          <w:snapToGrid/>
          <w:color w:val="333333"/>
          <w:szCs w:val="32"/>
        </w:rPr>
      </w:pPr>
      <w:r>
        <w:rPr>
          <w:rFonts w:hint="eastAsia" w:ascii="黑体" w:hAnsi="黑体" w:eastAsia="黑体" w:cs="宋体"/>
          <w:b/>
          <w:bCs/>
          <w:snapToGrid/>
          <w:color w:val="333333"/>
          <w:szCs w:val="32"/>
        </w:rPr>
        <w:t>六、其他需要报告的事项</w:t>
      </w:r>
    </w:p>
    <w:p>
      <w:pPr>
        <w:widowControl/>
        <w:shd w:val="clear" w:color="auto" w:fill="FFFFFF"/>
        <w:autoSpaceDE/>
        <w:autoSpaceDN/>
        <w:snapToGrid/>
        <w:spacing w:line="240" w:lineRule="auto"/>
        <w:ind w:firstLine="480"/>
        <w:rPr>
          <w:rFonts w:hint="default" w:ascii="仿宋_GB2312" w:hAnsi="宋体" w:eastAsia="仿宋_GB2312" w:cs="宋体"/>
          <w:snapToGrid/>
          <w:color w:val="333333"/>
          <w:szCs w:val="32"/>
          <w:lang w:val="en-US" w:eastAsia="zh-CN"/>
        </w:rPr>
      </w:pPr>
      <w:r>
        <w:rPr>
          <w:rFonts w:hint="eastAsia" w:ascii="仿宋_GB2312" w:hAnsi="宋体" w:eastAsia="仿宋_GB2312" w:cs="宋体"/>
          <w:snapToGrid/>
          <w:color w:val="333333"/>
          <w:szCs w:val="32"/>
          <w:lang w:val="en-US" w:eastAsia="zh-CN"/>
        </w:rPr>
        <w:t>无需要说明的其他事项</w:t>
      </w:r>
    </w:p>
    <w:p>
      <w:pPr>
        <w:pStyle w:val="7"/>
      </w:pPr>
    </w:p>
    <w:p/>
    <w:p>
      <w:pPr>
        <w:adjustRightInd w:val="0"/>
        <w:snapToGrid w:val="0"/>
        <w:spacing w:line="360"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师审计局 </w:t>
      </w:r>
    </w:p>
    <w:p>
      <w:pPr>
        <w:adjustRightInd w:val="0"/>
        <w:snapToGrid w:val="0"/>
        <w:spacing w:line="360" w:lineRule="auto"/>
        <w:ind w:firstLine="4740" w:firstLineChars="15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2022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日</w:t>
      </w:r>
    </w:p>
    <w:p>
      <w:pPr>
        <w:spacing w:line="590" w:lineRule="exact"/>
      </w:pPr>
    </w:p>
    <w:p>
      <w:pPr>
        <w:spacing w:line="590" w:lineRule="exact"/>
      </w:pPr>
    </w:p>
    <w:p/>
    <w:sectPr>
      <w:headerReference r:id="rId5" w:type="default"/>
      <w:footerReference r:id="rId6" w:type="default"/>
      <w:pgSz w:w="11906" w:h="16838"/>
      <w:pgMar w:top="2098"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3C004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fldChar w:fldCharType="begin"/>
    </w:r>
    <w:r>
      <w:rPr>
        <w:rStyle w:val="6"/>
      </w:rPr>
      <w:instrText xml:space="preserve"> PAGE </w:instrText>
    </w:r>
    <w:r>
      <w:fldChar w:fldCharType="separate"/>
    </w:r>
    <w:r>
      <w:rPr>
        <w:rStyle w:val="6"/>
      </w:rPr>
      <w:t>9</w:t>
    </w:r>
    <w:r>
      <w:fldChar w:fldCharType="end"/>
    </w:r>
    <w:r>
      <w:rPr>
        <w:rStyle w:val="6"/>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YmFjY2Y5MDA2ZjkwN2M2YzM0YjliZDY3NzVkNjYifQ=="/>
  </w:docVars>
  <w:rsids>
    <w:rsidRoot w:val="4ED0672B"/>
    <w:rsid w:val="00902702"/>
    <w:rsid w:val="00BB2D50"/>
    <w:rsid w:val="081F225B"/>
    <w:rsid w:val="0F4A0B82"/>
    <w:rsid w:val="1D85659D"/>
    <w:rsid w:val="237C0D44"/>
    <w:rsid w:val="3E7D038B"/>
    <w:rsid w:val="3FDE2119"/>
    <w:rsid w:val="4ED0672B"/>
    <w:rsid w:val="4FA7438B"/>
    <w:rsid w:val="50EA12AA"/>
    <w:rsid w:val="54A23EE2"/>
    <w:rsid w:val="631E5668"/>
    <w:rsid w:val="6B667B47"/>
    <w:rsid w:val="723B0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pacing w:line="400" w:lineRule="atLeast"/>
      <w:ind w:firstLine="0"/>
      <w:jc w:val="center"/>
    </w:pPr>
    <w:rPr>
      <w:sz w:val="28"/>
    </w:rPr>
  </w:style>
  <w:style w:type="paragraph" w:styleId="3">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character" w:styleId="6">
    <w:name w:val="page number"/>
    <w:basedOn w:val="5"/>
    <w:qFormat/>
    <w:uiPriority w:val="0"/>
  </w:style>
  <w:style w:type="paragraph" w:customStyle="1" w:styleId="7">
    <w:name w:val="标题1"/>
    <w:basedOn w:val="1"/>
    <w:next w:val="1"/>
    <w:qFormat/>
    <w:uiPriority w:val="0"/>
    <w:pPr>
      <w:tabs>
        <w:tab w:val="left" w:pos="9193"/>
        <w:tab w:val="left" w:pos="9827"/>
      </w:tabs>
      <w:spacing w:line="700" w:lineRule="atLeast"/>
      <w:ind w:firstLine="0"/>
      <w:jc w:val="center"/>
    </w:pPr>
    <w:rPr>
      <w:rFonts w:eastAsia="方正小标宋_GBK"/>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2022-01-21T08:02:00Z</dcterms:created>
  <dc:creator>lenovo</dc:creator>
  <cp:lastModifiedBy>admin</cp:lastModifiedBy>
  <dcterms:modified xsi:type="dcterms:W3CDTF">2024-02-23T12:05:18Z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7BA5F70C15444FDFA05093A6C082C1D9_13</vt:lpwstr>
  </property>
</Properties>
</file>