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475C3">
      <w:pPr>
        <w:jc w:val="center"/>
        <w:rPr>
          <w:rFonts w:hint="eastAsia" w:ascii="宋体" w:hAnsi="宋体" w:eastAsia="宋体" w:cs="宋体"/>
          <w:b/>
          <w:bCs/>
          <w:sz w:val="44"/>
          <w:szCs w:val="44"/>
          <w:vertAlign w:val="baseline"/>
          <w:lang w:val="en-US" w:eastAsia="zh-CN"/>
        </w:rPr>
      </w:pPr>
      <w:bookmarkStart w:id="0" w:name="_GoBack"/>
      <w:r>
        <w:rPr>
          <w:rFonts w:hint="eastAsia" w:ascii="宋体" w:hAnsi="宋体" w:eastAsia="宋体" w:cs="宋体"/>
          <w:b/>
          <w:bCs/>
          <w:sz w:val="44"/>
          <w:szCs w:val="44"/>
          <w:vertAlign w:val="baseline"/>
          <w:lang w:val="en-US" w:eastAsia="zh-CN"/>
        </w:rPr>
        <w:t>第十一师机关行政部门权力清单和责任清单（残联）</w:t>
      </w:r>
    </w:p>
    <w:bookmarkEnd w:id="0"/>
    <w:tbl>
      <w:tblPr>
        <w:tblStyle w:val="3"/>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1"/>
        <w:gridCol w:w="1191"/>
        <w:gridCol w:w="6473"/>
        <w:gridCol w:w="1191"/>
        <w:gridCol w:w="3129"/>
        <w:gridCol w:w="850"/>
      </w:tblGrid>
      <w:tr w14:paraId="096E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0" w:type="dxa"/>
            <w:vAlign w:val="center"/>
          </w:tcPr>
          <w:p w14:paraId="128073E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191" w:type="dxa"/>
            <w:vAlign w:val="center"/>
          </w:tcPr>
          <w:p w14:paraId="68EB3A2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职权类型</w:t>
            </w:r>
          </w:p>
        </w:tc>
        <w:tc>
          <w:tcPr>
            <w:tcW w:w="1191" w:type="dxa"/>
            <w:vAlign w:val="center"/>
          </w:tcPr>
          <w:p w14:paraId="7EDDF8C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6473" w:type="dxa"/>
            <w:vAlign w:val="center"/>
          </w:tcPr>
          <w:p w14:paraId="4B6D1F9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职权依据</w:t>
            </w:r>
          </w:p>
        </w:tc>
        <w:tc>
          <w:tcPr>
            <w:tcW w:w="1191" w:type="dxa"/>
            <w:vAlign w:val="center"/>
          </w:tcPr>
          <w:p w14:paraId="4787130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责任主体</w:t>
            </w:r>
          </w:p>
        </w:tc>
        <w:tc>
          <w:tcPr>
            <w:tcW w:w="3129" w:type="dxa"/>
            <w:vAlign w:val="center"/>
          </w:tcPr>
          <w:p w14:paraId="1ABD058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责任事项</w:t>
            </w:r>
          </w:p>
        </w:tc>
        <w:tc>
          <w:tcPr>
            <w:tcW w:w="850" w:type="dxa"/>
            <w:vAlign w:val="center"/>
          </w:tcPr>
          <w:p w14:paraId="0806E8A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来源</w:t>
            </w:r>
          </w:p>
        </w:tc>
      </w:tr>
      <w:tr w14:paraId="3720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8" w:hRule="atLeast"/>
        </w:trPr>
        <w:tc>
          <w:tcPr>
            <w:tcW w:w="850" w:type="dxa"/>
            <w:vAlign w:val="center"/>
          </w:tcPr>
          <w:p w14:paraId="0F6A4352">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w:t>
            </w:r>
          </w:p>
        </w:tc>
        <w:tc>
          <w:tcPr>
            <w:tcW w:w="1191" w:type="dxa"/>
            <w:vAlign w:val="center"/>
          </w:tcPr>
          <w:p w14:paraId="56F29709">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其他职权</w:t>
            </w:r>
          </w:p>
        </w:tc>
        <w:tc>
          <w:tcPr>
            <w:tcW w:w="1191" w:type="dxa"/>
            <w:vAlign w:val="center"/>
          </w:tcPr>
          <w:p w14:paraId="1DE135FA">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对用人单位安排残疾人就业情况的审核</w:t>
            </w:r>
          </w:p>
        </w:tc>
        <w:tc>
          <w:tcPr>
            <w:tcW w:w="6473" w:type="dxa"/>
            <w:vAlign w:val="center"/>
          </w:tcPr>
          <w:p w14:paraId="76249723">
            <w:pPr>
              <w:jc w:val="left"/>
              <w:rPr>
                <w:rFonts w:hint="eastAsia"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rPr>
              <w:t>《中华人民共和国残疾人保障法》第三十三条</w:t>
            </w:r>
            <w:r>
              <w:rPr>
                <w:rFonts w:hint="eastAsia" w:ascii="Times New Roman" w:hAnsi="Times New Roman" w:eastAsia="宋体" w:cs="Times New Roman"/>
                <w:sz w:val="18"/>
                <w:szCs w:val="18"/>
                <w:vertAlign w:val="baseline"/>
                <w:lang w:eastAsia="zh-CN"/>
              </w:rPr>
              <w:t>：</w:t>
            </w:r>
            <w:r>
              <w:rPr>
                <w:rFonts w:hint="default" w:ascii="Times New Roman" w:hAnsi="Times New Roman" w:eastAsia="宋体" w:cs="Times New Roman"/>
                <w:sz w:val="18"/>
                <w:szCs w:val="18"/>
                <w:vertAlign w:val="baseline"/>
              </w:rPr>
              <w:t>国家机关、社会团体、企业事位、民办非企业单位应当按照规定的比例安排残疾人就业。达不到规定比业单，按照国家有关规定履行保障残疾人就业义务</w:t>
            </w:r>
            <w:r>
              <w:rPr>
                <w:rFonts w:hint="eastAsia" w:ascii="Times New Roman" w:hAnsi="Times New Roman" w:eastAsia="宋体" w:cs="Times New Roman"/>
                <w:sz w:val="18"/>
                <w:szCs w:val="18"/>
                <w:vertAlign w:val="baseline"/>
                <w:lang w:eastAsia="zh-CN"/>
              </w:rPr>
              <w:t>。</w:t>
            </w:r>
          </w:p>
          <w:p w14:paraId="66ADA700">
            <w:pPr>
              <w:jc w:val="left"/>
              <w:rPr>
                <w:rFonts w:hint="eastAsia"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rPr>
              <w:t>《残疾人就业条例》(国务院令 第488号)第八条</w:t>
            </w:r>
            <w:r>
              <w:rPr>
                <w:rFonts w:hint="eastAsia" w:ascii="Times New Roman" w:hAnsi="Times New Roman" w:eastAsia="宋体" w:cs="Times New Roman"/>
                <w:sz w:val="18"/>
                <w:szCs w:val="18"/>
                <w:vertAlign w:val="baseline"/>
                <w:lang w:eastAsia="zh-CN"/>
              </w:rPr>
              <w:t>：</w:t>
            </w:r>
            <w:r>
              <w:rPr>
                <w:rFonts w:hint="default" w:ascii="Times New Roman" w:hAnsi="Times New Roman" w:eastAsia="宋体" w:cs="Times New Roman"/>
                <w:sz w:val="18"/>
                <w:szCs w:val="18"/>
                <w:vertAlign w:val="baseline"/>
              </w:rPr>
              <w:t>用人单位应当按照一定比例安排残疾人就业。具体比例由省、自治区、直辖市人民政府根据本地区的实际情况规定</w:t>
            </w:r>
            <w:r>
              <w:rPr>
                <w:rFonts w:hint="eastAsia" w:ascii="Times New Roman" w:hAnsi="Times New Roman" w:eastAsia="宋体" w:cs="Times New Roman"/>
                <w:sz w:val="18"/>
                <w:szCs w:val="18"/>
                <w:vertAlign w:val="baseline"/>
                <w:lang w:eastAsia="zh-CN"/>
              </w:rPr>
              <w:t>。</w:t>
            </w:r>
          </w:p>
          <w:p w14:paraId="6BB29360">
            <w:pPr>
              <w:jc w:val="left"/>
              <w:rPr>
                <w:rFonts w:hint="eastAsia"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rPr>
              <w:t>第九条:用人单位安排残疾人就业达不到其所在地省、自治区、直辖市人民政府《残规定比例的，应当缴纳残疾人就业保障金</w:t>
            </w:r>
            <w:r>
              <w:rPr>
                <w:rFonts w:hint="eastAsia" w:ascii="Times New Roman" w:hAnsi="Times New Roman" w:eastAsia="宋体" w:cs="Times New Roman"/>
                <w:sz w:val="18"/>
                <w:szCs w:val="18"/>
                <w:vertAlign w:val="baseline"/>
                <w:lang w:eastAsia="zh-CN"/>
              </w:rPr>
              <w:t>。</w:t>
            </w:r>
          </w:p>
          <w:p w14:paraId="29C96998">
            <w:pPr>
              <w:jc w:val="left"/>
              <w:rPr>
                <w:rFonts w:hint="eastAsia"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rPr>
              <w:t>《</w:t>
            </w:r>
            <w:r>
              <w:rPr>
                <w:rFonts w:hint="eastAsia" w:ascii="Times New Roman" w:hAnsi="Times New Roman" w:eastAsia="宋体" w:cs="Times New Roman"/>
                <w:sz w:val="18"/>
                <w:szCs w:val="18"/>
                <w:vertAlign w:val="baseline"/>
                <w:lang w:val="en-US" w:eastAsia="zh-CN"/>
              </w:rPr>
              <w:t>残疾</w:t>
            </w:r>
            <w:r>
              <w:rPr>
                <w:rFonts w:hint="default" w:ascii="Times New Roman" w:hAnsi="Times New Roman" w:eastAsia="宋体" w:cs="Times New Roman"/>
                <w:sz w:val="18"/>
                <w:szCs w:val="18"/>
                <w:vertAlign w:val="baseline"/>
              </w:rPr>
              <w:t>人就业保障金征收使用管理办法》 (财税 [2015] 72号 ) 第十二条: 残疾人就业服务机构应当配合保障金征收机关做好保障金征收工作。用人单位应按规定时限如实向残疾人就业服务机构申报上年本单位安排的残疾人就业人数。未在规定时限申报的，视为未安排残疾人就业。残疾人就业服务机构进行审核后，确定用人单位实际安排的残疾人就业人数，并及时提供给保障金征收机关</w:t>
            </w:r>
            <w:r>
              <w:rPr>
                <w:rFonts w:hint="eastAsia" w:ascii="Times New Roman" w:hAnsi="Times New Roman" w:eastAsia="宋体" w:cs="Times New Roman"/>
                <w:sz w:val="18"/>
                <w:szCs w:val="18"/>
                <w:vertAlign w:val="baseline"/>
                <w:lang w:eastAsia="zh-CN"/>
              </w:rPr>
              <w:t>。</w:t>
            </w:r>
          </w:p>
          <w:p w14:paraId="5A52472D">
            <w:pPr>
              <w:jc w:val="left"/>
              <w:rPr>
                <w:rFonts w:hint="eastAsia"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rPr>
              <w:t>《新疆维吾尔自治区残疾人就业保障金征收使用管理办法》第十一条:且(市、区 ) 级地税局 (国税局 )、县 (市、区 ) 级残疾人就业服务机构应当定期对用人少缴纳保障金的单位申报信息的真实性进行检查。发现用人单位申报不实应当催报并追缴保障金</w:t>
            </w:r>
            <w:r>
              <w:rPr>
                <w:rFonts w:hint="eastAsia" w:ascii="Times New Roman" w:hAnsi="Times New Roman" w:eastAsia="宋体" w:cs="Times New Roman"/>
                <w:sz w:val="18"/>
                <w:szCs w:val="18"/>
                <w:vertAlign w:val="baseline"/>
                <w:lang w:eastAsia="zh-CN"/>
              </w:rPr>
              <w:t>。</w:t>
            </w:r>
          </w:p>
          <w:p w14:paraId="0D4B5CD9">
            <w:pPr>
              <w:jc w:val="left"/>
              <w:rPr>
                <w:rFonts w:hint="eastAsia"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rPr>
              <w:t>第十二条各级残疾人就业服务机构应当配合地税局 (国税局 ) 做好保障金征收《新疆生产建设兵团残疾人就业保障金征收管理暂行办法》 (新兵发工作。“兵、师 (市) 残疾人就业服务机构对用人单位上年[2009]38号 ) 文，第九条:度安排残疾人就业情况进行审核”</w:t>
            </w:r>
            <w:r>
              <w:rPr>
                <w:rFonts w:hint="eastAsia" w:ascii="Times New Roman" w:hAnsi="Times New Roman" w:eastAsia="宋体" w:cs="Times New Roman"/>
                <w:sz w:val="18"/>
                <w:szCs w:val="18"/>
                <w:vertAlign w:val="baseline"/>
                <w:lang w:eastAsia="zh-CN"/>
              </w:rPr>
              <w:t>。</w:t>
            </w:r>
          </w:p>
        </w:tc>
        <w:tc>
          <w:tcPr>
            <w:tcW w:w="1191" w:type="dxa"/>
            <w:vAlign w:val="center"/>
          </w:tcPr>
          <w:p w14:paraId="3295F69D">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残联</w:t>
            </w:r>
          </w:p>
        </w:tc>
        <w:tc>
          <w:tcPr>
            <w:tcW w:w="3129" w:type="dxa"/>
            <w:vAlign w:val="center"/>
          </w:tcPr>
          <w:p w14:paraId="20908E37">
            <w:pPr>
              <w:numPr>
                <w:ilvl w:val="0"/>
                <w:numId w:val="0"/>
              </w:numPr>
              <w:jc w:val="left"/>
              <w:rPr>
                <w:rFonts w:hint="default" w:ascii="Times New Roman" w:hAnsi="Times New Roman" w:eastAsia="宋体" w:cs="Times New Roman"/>
                <w:sz w:val="18"/>
                <w:szCs w:val="18"/>
                <w:vertAlign w:val="baseline"/>
              </w:rPr>
            </w:pPr>
            <w:r>
              <w:rPr>
                <w:rFonts w:hint="eastAsia" w:ascii="Times New Roman" w:hAnsi="Times New Roman" w:eastAsia="宋体" w:cs="Times New Roman"/>
                <w:sz w:val="18"/>
                <w:szCs w:val="18"/>
                <w:vertAlign w:val="baseline"/>
                <w:lang w:val="en-US" w:eastAsia="zh-CN"/>
              </w:rPr>
              <w:t>1.</w:t>
            </w:r>
            <w:r>
              <w:rPr>
                <w:rFonts w:hint="default" w:ascii="Times New Roman" w:hAnsi="Times New Roman" w:eastAsia="宋体" w:cs="Times New Roman"/>
                <w:sz w:val="18"/>
                <w:szCs w:val="18"/>
                <w:vertAlign w:val="baseline"/>
              </w:rPr>
              <w:t>受理责任: 公示告知残疾人就业保障金征收金额计算方式、征收方式、免减缴残疾人就业保障金条件、需要提交的全部材料目录，以及其他应当公示的内容，并作出解释说明。</w:t>
            </w:r>
          </w:p>
          <w:p w14:paraId="0E694482">
            <w:pPr>
              <w:numPr>
                <w:ilvl w:val="0"/>
                <w:numId w:val="1"/>
              </w:numPr>
              <w:ind w:left="0" w:leftChars="0" w:firstLine="0" w:firstLineChars="0"/>
              <w:jc w:val="left"/>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审核责任:审核用人单位申报表及相关材料，实地核查用人单位有关帐簿、凭证、报表和资料。</w:t>
            </w:r>
          </w:p>
          <w:p w14:paraId="3920A5BE">
            <w:pPr>
              <w:numPr>
                <w:ilvl w:val="0"/>
                <w:numId w:val="1"/>
              </w:numPr>
              <w:ind w:left="0" w:leftChars="0" w:firstLine="0" w:firstLineChars="0"/>
              <w:jc w:val="left"/>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决定责任: 做出审核决定，向用人单位开具《残疾人就业保障金缴款证明》: 对未按期报送年审材料的用人单位，按未安排残疾人就业认定。</w:t>
            </w:r>
          </w:p>
          <w:p w14:paraId="32567A8A">
            <w:pPr>
              <w:numPr>
                <w:ilvl w:val="0"/>
                <w:numId w:val="1"/>
              </w:numPr>
              <w:ind w:left="0" w:leftChars="0" w:firstLine="0" w:firstLineChars="0"/>
              <w:jc w:val="left"/>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事后监管责任:会同财政等部门采用定期或不定期的方式对保障金入库和使用情况开展全面或专项检查。</w:t>
            </w:r>
          </w:p>
          <w:p w14:paraId="780D3D7D">
            <w:pPr>
              <w:numPr>
                <w:ilvl w:val="0"/>
                <w:numId w:val="0"/>
              </w:numPr>
              <w:ind w:leftChars="0"/>
              <w:jc w:val="left"/>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5.其他法律法规规章文件规定应履行的责任。</w:t>
            </w:r>
          </w:p>
        </w:tc>
        <w:tc>
          <w:tcPr>
            <w:tcW w:w="850" w:type="dxa"/>
            <w:vAlign w:val="center"/>
          </w:tcPr>
          <w:p w14:paraId="2865334D">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1954项</w:t>
            </w:r>
          </w:p>
        </w:tc>
      </w:tr>
    </w:tbl>
    <w:p w14:paraId="7E1B5BAF">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E3EC3"/>
    <w:multiLevelType w:val="singleLevel"/>
    <w:tmpl w:val="D0AE3E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jI1MWRmYmMyNWU2NjQyMmU2MWQwYzEzYWIzZDAifQ=="/>
  </w:docVars>
  <w:rsids>
    <w:rsidRoot w:val="45497008"/>
    <w:rsid w:val="45497008"/>
    <w:rsid w:val="4A95614C"/>
    <w:rsid w:val="6382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938</Words>
  <Characters>958</Characters>
  <Lines>0</Lines>
  <Paragraphs>0</Paragraphs>
  <TotalTime>18</TotalTime>
  <ScaleCrop>false</ScaleCrop>
  <LinksUpToDate>false</LinksUpToDate>
  <CharactersWithSpaces>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2023-09-07T04:04:00Z</dcterms:created>
  <dc:creator>解语花</dc:creator>
  <cp:lastModifiedBy>叫我啊申就好.</cp:lastModifiedBy>
  <dcterms:modified xsi:type="dcterms:W3CDTF">2025-01-07T09:41:24Z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1CA3325FEE76431DBDEE99E6E2A2B8EE_13</vt:lpwstr>
  </property>
  <property fmtid="{D5CDD505-2E9C-101B-9397-08002B2CF9AE}" pid="4" name="KSOTemplateDocerSaveRecord">
    <vt:lpwstr>eyJoZGlkIjoiZWFmOWFhZDIyODMwZjA0OTMyZmZiOWY3MmQ2YzQ5M2UiLCJ1c2VySWQiOiI1MDY2Mzc4MzIifQ==</vt:lpwstr>
  </property>
</Properties>
</file>